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A34" w:rsidRPr="00202A34" w:rsidRDefault="00643C79" w:rsidP="00202A34">
      <w:pPr>
        <w:rPr>
          <w:b/>
          <w:bCs/>
          <w:lang w:val="en"/>
        </w:rPr>
      </w:pPr>
      <w:r>
        <w:rPr>
          <w:b/>
          <w:bCs/>
          <w:lang w:val="en"/>
        </w:rPr>
        <w:fldChar w:fldCharType="begin"/>
      </w:r>
      <w:r>
        <w:rPr>
          <w:b/>
          <w:bCs/>
          <w:lang w:val="en"/>
        </w:rPr>
        <w:instrText xml:space="preserve"> HYPERLINK "https://peopleforeducation.ca/research/provincial-funding-announcements-may-affect-programs-for-students-at-risk/?utm_source=E-Newsletter&amp;utm_campaign=d0b94687a6-EMAIL_CAMPAIGN_2018_12_14_04_24&amp;utm_medium=email&amp;utm_term=0_422aeb3dbd-d0b94687a6-7967801" </w:instrText>
      </w:r>
      <w:r>
        <w:rPr>
          <w:b/>
          <w:bCs/>
          <w:lang w:val="en"/>
        </w:rPr>
      </w:r>
      <w:r>
        <w:rPr>
          <w:b/>
          <w:bCs/>
          <w:lang w:val="en"/>
        </w:rPr>
        <w:fldChar w:fldCharType="separate"/>
      </w:r>
      <w:r w:rsidR="00202A34" w:rsidRPr="00643C79">
        <w:rPr>
          <w:rStyle w:val="Hyperlink"/>
          <w:b/>
          <w:bCs/>
          <w:lang w:val="en"/>
        </w:rPr>
        <w:t>Provincial funding announcements may affect programs for students at risk</w:t>
      </w:r>
      <w:r>
        <w:rPr>
          <w:b/>
          <w:bCs/>
          <w:lang w:val="en"/>
        </w:rPr>
        <w:fldChar w:fldCharType="end"/>
      </w:r>
    </w:p>
    <w:p w:rsidR="00202A34" w:rsidRPr="00202A34" w:rsidRDefault="00202A34" w:rsidP="00202A34">
      <w:pPr>
        <w:rPr>
          <w:b/>
          <w:bCs/>
          <w:lang w:val="en"/>
        </w:rPr>
      </w:pPr>
      <w:r w:rsidRPr="00202A34">
        <w:rPr>
          <w:b/>
          <w:bCs/>
          <w:lang w:val="en"/>
        </w:rPr>
        <w:t>December 19, 2018</w:t>
      </w:r>
      <w:r w:rsidR="00643C79">
        <w:rPr>
          <w:b/>
          <w:bCs/>
          <w:lang w:val="en"/>
        </w:rPr>
        <w:t xml:space="preserve">, </w:t>
      </w:r>
      <w:bookmarkStart w:id="0" w:name="_GoBack"/>
      <w:bookmarkEnd w:id="0"/>
      <w:r>
        <w:rPr>
          <w:b/>
          <w:bCs/>
          <w:lang w:val="en"/>
        </w:rPr>
        <w:t xml:space="preserve"> </w:t>
      </w:r>
      <w:r w:rsidR="00643C79">
        <w:rPr>
          <w:b/>
          <w:bCs/>
          <w:lang w:val="en"/>
        </w:rPr>
        <w:t>People for Education</w:t>
      </w:r>
    </w:p>
    <w:p w:rsidR="00202A34" w:rsidRPr="00202A34" w:rsidRDefault="00202A34" w:rsidP="00202A34">
      <w:pPr>
        <w:rPr>
          <w:lang w:val="en"/>
        </w:rPr>
      </w:pPr>
      <w:r w:rsidRPr="00202A34">
        <w:rPr>
          <w:lang w:val="en"/>
        </w:rPr>
        <w:t>On Friday, December 14</w:t>
      </w:r>
      <w:r w:rsidRPr="00202A34">
        <w:rPr>
          <w:vertAlign w:val="superscript"/>
          <w:lang w:val="en"/>
        </w:rPr>
        <w:t>th</w:t>
      </w:r>
      <w:r w:rsidRPr="00202A34">
        <w:rPr>
          <w:lang w:val="en"/>
        </w:rPr>
        <w:t xml:space="preserve">, the Ministry of Education sent memos to school boards across the province outlining a range of areas where funding is going to be reduced or discontinued. Funding for the programs affected had been announced in a </w:t>
      </w:r>
      <w:hyperlink r:id="rId5" w:tgtFrame="_blank" w:history="1">
        <w:r w:rsidRPr="00202A34">
          <w:rPr>
            <w:rStyle w:val="Hyperlink"/>
            <w:lang w:val="en"/>
          </w:rPr>
          <w:t xml:space="preserve">memo to school boards in </w:t>
        </w:r>
        <w:proofErr w:type="gramStart"/>
        <w:r w:rsidRPr="00202A34">
          <w:rPr>
            <w:rStyle w:val="Hyperlink"/>
            <w:lang w:val="en"/>
          </w:rPr>
          <w:t>March,</w:t>
        </w:r>
        <w:proofErr w:type="gramEnd"/>
        <w:r w:rsidRPr="00202A34">
          <w:rPr>
            <w:rStyle w:val="Hyperlink"/>
            <w:lang w:val="en"/>
          </w:rPr>
          <w:t xml:space="preserve"> 2018.</w:t>
        </w:r>
      </w:hyperlink>
      <w:r w:rsidRPr="00202A34">
        <w:rPr>
          <w:lang w:val="en"/>
        </w:rPr>
        <w:t xml:space="preserve">  None of the announcements affected </w:t>
      </w:r>
      <w:hyperlink r:id="rId6" w:tgtFrame="_blank" w:history="1">
        <w:r w:rsidRPr="00202A34">
          <w:rPr>
            <w:rStyle w:val="Hyperlink"/>
            <w:lang w:val="en"/>
          </w:rPr>
          <w:t>Grants for Student Needs</w:t>
        </w:r>
      </w:hyperlink>
      <w:r w:rsidRPr="00202A34">
        <w:rPr>
          <w:lang w:val="en"/>
        </w:rPr>
        <w:t xml:space="preserve"> (the core funding for education), but are included in a category call Education Programs – Other.</w:t>
      </w:r>
    </w:p>
    <w:p w:rsidR="00202A34" w:rsidRPr="00202A34" w:rsidRDefault="00202A34" w:rsidP="00202A34">
      <w:pPr>
        <w:rPr>
          <w:lang w:val="en"/>
        </w:rPr>
      </w:pPr>
      <w:r w:rsidRPr="00202A34">
        <w:rPr>
          <w:bCs/>
          <w:lang w:val="en"/>
        </w:rPr>
        <w:t xml:space="preserve">The grants where funding is being </w:t>
      </w:r>
      <w:proofErr w:type="gramStart"/>
      <w:r w:rsidRPr="00202A34">
        <w:rPr>
          <w:bCs/>
          <w:lang w:val="en"/>
        </w:rPr>
        <w:t>discontinued</w:t>
      </w:r>
      <w:proofErr w:type="gramEnd"/>
      <w:r w:rsidRPr="00202A34">
        <w:rPr>
          <w:bCs/>
          <w:lang w:val="en"/>
        </w:rPr>
        <w:t xml:space="preserve"> include: </w:t>
      </w:r>
    </w:p>
    <w:p w:rsidR="00202A34" w:rsidRPr="00202A34" w:rsidRDefault="00202A34" w:rsidP="00202A34">
      <w:pPr>
        <w:numPr>
          <w:ilvl w:val="0"/>
          <w:numId w:val="1"/>
        </w:numPr>
        <w:rPr>
          <w:lang w:val="en"/>
        </w:rPr>
      </w:pPr>
      <w:hyperlink r:id="rId7" w:tgtFrame="_blank" w:history="1">
        <w:proofErr w:type="spellStart"/>
        <w:r w:rsidRPr="00202A34">
          <w:rPr>
            <w:rStyle w:val="Hyperlink"/>
            <w:lang w:val="en"/>
          </w:rPr>
          <w:t>SpeakUP</w:t>
        </w:r>
        <w:proofErr w:type="spellEnd"/>
      </w:hyperlink>
      <w:r w:rsidRPr="00202A34">
        <w:rPr>
          <w:lang w:val="en"/>
        </w:rPr>
        <w:t xml:space="preserve"> – grants for students in grades 7 to 12 to lead projects promoting student engagement</w:t>
      </w:r>
    </w:p>
    <w:p w:rsidR="00202A34" w:rsidRPr="00202A34" w:rsidRDefault="00202A34" w:rsidP="00202A34">
      <w:pPr>
        <w:numPr>
          <w:ilvl w:val="0"/>
          <w:numId w:val="1"/>
        </w:numPr>
        <w:rPr>
          <w:lang w:val="en"/>
        </w:rPr>
      </w:pPr>
      <w:hyperlink r:id="rId8" w:tgtFrame="_blank" w:history="1">
        <w:r w:rsidRPr="00202A34">
          <w:rPr>
            <w:rStyle w:val="Hyperlink"/>
            <w:lang w:val="en"/>
          </w:rPr>
          <w:t>Equitable access to post-secondary education</w:t>
        </w:r>
      </w:hyperlink>
      <w:r w:rsidRPr="00202A34">
        <w:rPr>
          <w:lang w:val="en"/>
        </w:rPr>
        <w:t xml:space="preserve"> – a fund boards could apply to for programs that supported students from grades 10 to 12 who: </w:t>
      </w:r>
    </w:p>
    <w:p w:rsidR="00202A34" w:rsidRPr="00202A34" w:rsidRDefault="00202A34" w:rsidP="00202A34">
      <w:pPr>
        <w:numPr>
          <w:ilvl w:val="1"/>
          <w:numId w:val="1"/>
        </w:numPr>
        <w:rPr>
          <w:lang w:val="en"/>
        </w:rPr>
      </w:pPr>
      <w:r w:rsidRPr="00202A34">
        <w:rPr>
          <w:lang w:val="en"/>
        </w:rPr>
        <w:t>have low secondary school credit accumulation and/or are achieving below the provincial average</w:t>
      </w:r>
    </w:p>
    <w:p w:rsidR="00202A34" w:rsidRDefault="00202A34" w:rsidP="00202A34">
      <w:pPr>
        <w:numPr>
          <w:ilvl w:val="1"/>
          <w:numId w:val="1"/>
        </w:numPr>
        <w:rPr>
          <w:lang w:val="en"/>
        </w:rPr>
      </w:pPr>
      <w:r w:rsidRPr="00202A34">
        <w:rPr>
          <w:lang w:val="en"/>
        </w:rPr>
        <w:t>are taking applied and/or locally developed courses</w:t>
      </w:r>
    </w:p>
    <w:p w:rsidR="00202A34" w:rsidRDefault="00202A34" w:rsidP="00202A34">
      <w:pPr>
        <w:numPr>
          <w:ilvl w:val="1"/>
          <w:numId w:val="1"/>
        </w:numPr>
        <w:rPr>
          <w:lang w:val="en"/>
        </w:rPr>
      </w:pPr>
      <w:proofErr w:type="gramStart"/>
      <w:r w:rsidRPr="00202A34">
        <w:rPr>
          <w:lang w:val="en"/>
        </w:rPr>
        <w:t>are</w:t>
      </w:r>
      <w:proofErr w:type="gramEnd"/>
      <w:r w:rsidRPr="00202A34">
        <w:rPr>
          <w:lang w:val="en"/>
        </w:rPr>
        <w:t xml:space="preserve"> disengaged and/or may not be considering post-secondary education after high school.</w:t>
      </w:r>
    </w:p>
    <w:p w:rsidR="00202A34" w:rsidRPr="00202A34" w:rsidRDefault="00202A34" w:rsidP="00202A34">
      <w:pPr>
        <w:numPr>
          <w:ilvl w:val="0"/>
          <w:numId w:val="1"/>
        </w:numPr>
        <w:rPr>
          <w:lang w:val="en"/>
        </w:rPr>
      </w:pPr>
      <w:hyperlink r:id="rId9" w:history="1">
        <w:r w:rsidRPr="00202A34">
          <w:rPr>
            <w:rStyle w:val="Hyperlink"/>
            <w:lang w:val="en"/>
          </w:rPr>
          <w:t>Focus on Youth</w:t>
        </w:r>
      </w:hyperlink>
      <w:r w:rsidRPr="00202A34">
        <w:rPr>
          <w:lang w:val="en"/>
        </w:rPr>
        <w:t xml:space="preserve"> – funding to support after-school programs and job experience for young people in high needs </w:t>
      </w:r>
      <w:proofErr w:type="spellStart"/>
      <w:r w:rsidRPr="00202A34">
        <w:rPr>
          <w:lang w:val="en"/>
        </w:rPr>
        <w:t>neighbourhoods</w:t>
      </w:r>
      <w:proofErr w:type="spellEnd"/>
      <w:r w:rsidRPr="00202A34">
        <w:rPr>
          <w:lang w:val="en"/>
        </w:rPr>
        <w:t>.</w:t>
      </w:r>
    </w:p>
    <w:p w:rsidR="00202A34" w:rsidRPr="00202A34" w:rsidRDefault="00202A34" w:rsidP="00202A34">
      <w:pPr>
        <w:numPr>
          <w:ilvl w:val="0"/>
          <w:numId w:val="1"/>
        </w:numPr>
        <w:rPr>
          <w:lang w:val="en"/>
        </w:rPr>
      </w:pPr>
      <w:hyperlink r:id="rId10" w:history="1">
        <w:r w:rsidRPr="00202A34">
          <w:rPr>
            <w:rStyle w:val="Hyperlink"/>
            <w:lang w:val="en"/>
          </w:rPr>
          <w:t>Tutors in the classroom</w:t>
        </w:r>
      </w:hyperlink>
      <w:r w:rsidRPr="00202A34">
        <w:rPr>
          <w:lang w:val="en"/>
        </w:rPr>
        <w:t xml:space="preserve"> – a program that helped boards pay post-secondary students to work as tutors in JK to Grade 6 classrooms.</w:t>
      </w:r>
    </w:p>
    <w:p w:rsidR="00202A34" w:rsidRPr="00202A34" w:rsidRDefault="00202A34" w:rsidP="00202A34">
      <w:pPr>
        <w:numPr>
          <w:ilvl w:val="0"/>
          <w:numId w:val="3"/>
        </w:numPr>
        <w:rPr>
          <w:lang w:val="en"/>
        </w:rPr>
      </w:pPr>
      <w:hyperlink r:id="rId11" w:tgtFrame="_blank" w:history="1">
        <w:r w:rsidRPr="00202A34">
          <w:rPr>
            <w:rStyle w:val="Hyperlink"/>
            <w:lang w:val="en"/>
          </w:rPr>
          <w:t>Regional equity networks</w:t>
        </w:r>
      </w:hyperlink>
      <w:r w:rsidRPr="00202A34">
        <w:rPr>
          <w:lang w:val="en"/>
        </w:rPr>
        <w:t xml:space="preserve"> – funding from the province to bring school boards together to “build upon and embed cultures of equity and human rights in all aspects of board and school practices, policies, programs and operations.”</w:t>
      </w:r>
    </w:p>
    <w:p w:rsidR="00202A34" w:rsidRPr="00202A34" w:rsidRDefault="00202A34" w:rsidP="00202A34">
      <w:pPr>
        <w:numPr>
          <w:ilvl w:val="0"/>
          <w:numId w:val="3"/>
        </w:numPr>
        <w:rPr>
          <w:lang w:val="en"/>
        </w:rPr>
      </w:pPr>
      <w:hyperlink r:id="rId12" w:tgtFrame="_blank" w:history="1">
        <w:r w:rsidRPr="00202A34">
          <w:rPr>
            <w:rStyle w:val="Hyperlink"/>
            <w:lang w:val="en"/>
          </w:rPr>
          <w:t>Re-engagement 12&amp;12+</w:t>
        </w:r>
      </w:hyperlink>
      <w:r w:rsidRPr="00202A34">
        <w:rPr>
          <w:lang w:val="en"/>
        </w:rPr>
        <w:t xml:space="preserve"> – a program where staff and teachers individually contacted thousands of students who had quit school, to assist them in getting back in, so that they could graduate.</w:t>
      </w:r>
    </w:p>
    <w:p w:rsidR="00202A34" w:rsidRPr="00202A34" w:rsidRDefault="00202A34" w:rsidP="00202A34">
      <w:pPr>
        <w:numPr>
          <w:ilvl w:val="0"/>
          <w:numId w:val="3"/>
        </w:numPr>
        <w:rPr>
          <w:lang w:val="en"/>
        </w:rPr>
      </w:pPr>
      <w:hyperlink r:id="rId13" w:tgtFrame="_blank" w:history="1">
        <w:r w:rsidRPr="00202A34">
          <w:rPr>
            <w:rStyle w:val="Hyperlink"/>
            <w:lang w:val="en"/>
          </w:rPr>
          <w:t>Indigenous focused collaborative inquiry</w:t>
        </w:r>
      </w:hyperlink>
      <w:r w:rsidRPr="00202A34">
        <w:rPr>
          <w:lang w:val="en"/>
        </w:rPr>
        <w:t xml:space="preserve"> – funding to support teams of teachers and board staff, working with members of First Nations, Métis or Inuit communities to develop projects to support Indigenous young people to succeed.</w:t>
      </w:r>
    </w:p>
    <w:p w:rsidR="005A4279" w:rsidRPr="00202A34" w:rsidRDefault="00202A34" w:rsidP="00202A34">
      <w:pPr>
        <w:pStyle w:val="ListParagraph"/>
        <w:numPr>
          <w:ilvl w:val="0"/>
          <w:numId w:val="4"/>
        </w:numPr>
      </w:pPr>
      <w:hyperlink r:id="rId14" w:tgtFrame="_blank" w:history="1">
        <w:r w:rsidRPr="00202A34">
          <w:rPr>
            <w:rStyle w:val="Hyperlink"/>
            <w:lang w:val="en"/>
          </w:rPr>
          <w:t>Innovation in Learning</w:t>
        </w:r>
      </w:hyperlink>
      <w:r w:rsidRPr="00202A34">
        <w:rPr>
          <w:lang w:val="en"/>
        </w:rPr>
        <w:t xml:space="preserve"> – a fund for school boards to provide support for professional development and innovations in teaching and learning, so that students develop global competencies (sometimes called transferable skills or 21</w:t>
      </w:r>
      <w:r w:rsidRPr="00202A34">
        <w:rPr>
          <w:vertAlign w:val="superscript"/>
          <w:lang w:val="en"/>
        </w:rPr>
        <w:t>st</w:t>
      </w:r>
      <w:r w:rsidRPr="00202A34">
        <w:rPr>
          <w:lang w:val="en"/>
        </w:rPr>
        <w:t xml:space="preserve"> century skills)</w:t>
      </w:r>
      <w:r>
        <w:rPr>
          <w:lang w:val="en"/>
        </w:rPr>
        <w:t>.</w:t>
      </w:r>
    </w:p>
    <w:p w:rsidR="00202A34" w:rsidRPr="00202A34" w:rsidRDefault="00202A34" w:rsidP="00202A34">
      <w:pPr>
        <w:rPr>
          <w:b/>
        </w:rPr>
      </w:pPr>
      <w:r w:rsidRPr="00202A34">
        <w:rPr>
          <w:b/>
        </w:rPr>
        <w:t xml:space="preserve">Grants where funding is </w:t>
      </w:r>
      <w:proofErr w:type="gramStart"/>
      <w:r w:rsidRPr="00202A34">
        <w:rPr>
          <w:b/>
        </w:rPr>
        <w:t>being reduced</w:t>
      </w:r>
      <w:proofErr w:type="gramEnd"/>
      <w:r w:rsidRPr="00202A34">
        <w:rPr>
          <w:b/>
        </w:rPr>
        <w:t xml:space="preserve"> include:</w:t>
      </w:r>
    </w:p>
    <w:p w:rsidR="00202A34" w:rsidRDefault="00202A34" w:rsidP="00202A34">
      <w:hyperlink r:id="rId15" w:history="1">
        <w:r w:rsidRPr="00202A34">
          <w:rPr>
            <w:rStyle w:val="Hyperlink"/>
          </w:rPr>
          <w:t>Well-Being: Safe, Accepting and Healthy Schools and Mental Health</w:t>
        </w:r>
      </w:hyperlink>
      <w:r>
        <w:t xml:space="preserve"> – funding to support “students’ whole experience at school” including things like student mental health, equity, student voice, an</w:t>
      </w:r>
      <w:r>
        <w:t>d collaborative professionalism.</w:t>
      </w:r>
    </w:p>
    <w:sectPr w:rsidR="00202A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B32C7"/>
    <w:multiLevelType w:val="multilevel"/>
    <w:tmpl w:val="5BC85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F043B"/>
    <w:multiLevelType w:val="multilevel"/>
    <w:tmpl w:val="0AD87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E70E6"/>
    <w:multiLevelType w:val="hybridMultilevel"/>
    <w:tmpl w:val="C8E48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0FB12F2"/>
    <w:multiLevelType w:val="multilevel"/>
    <w:tmpl w:val="0DC2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34"/>
    <w:rsid w:val="00202A34"/>
    <w:rsid w:val="004074DD"/>
    <w:rsid w:val="00643C79"/>
    <w:rsid w:val="007E6A66"/>
    <w:rsid w:val="00F86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DE22"/>
  <w15:chartTrackingRefBased/>
  <w15:docId w15:val="{90FCD1D6-026D-430D-8508-914866E3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A34"/>
    <w:rPr>
      <w:color w:val="0563C1" w:themeColor="hyperlink"/>
      <w:u w:val="single"/>
    </w:rPr>
  </w:style>
  <w:style w:type="paragraph" w:styleId="ListParagraph">
    <w:name w:val="List Paragraph"/>
    <w:basedOn w:val="Normal"/>
    <w:uiPriority w:val="34"/>
    <w:qFormat/>
    <w:rsid w:val="00202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51182">
      <w:bodyDiv w:val="1"/>
      <w:marLeft w:val="0"/>
      <w:marRight w:val="0"/>
      <w:marTop w:val="0"/>
      <w:marBottom w:val="0"/>
      <w:divBdr>
        <w:top w:val="none" w:sz="0" w:space="0" w:color="auto"/>
        <w:left w:val="none" w:sz="0" w:space="0" w:color="auto"/>
        <w:bottom w:val="none" w:sz="0" w:space="0" w:color="auto"/>
        <w:right w:val="none" w:sz="0" w:space="0" w:color="auto"/>
      </w:divBdr>
      <w:divsChild>
        <w:div w:id="711224181">
          <w:marLeft w:val="0"/>
          <w:marRight w:val="0"/>
          <w:marTop w:val="0"/>
          <w:marBottom w:val="0"/>
          <w:divBdr>
            <w:top w:val="none" w:sz="0" w:space="0" w:color="auto"/>
            <w:left w:val="none" w:sz="0" w:space="0" w:color="auto"/>
            <w:bottom w:val="none" w:sz="0" w:space="0" w:color="auto"/>
            <w:right w:val="none" w:sz="0" w:space="0" w:color="auto"/>
          </w:divBdr>
          <w:divsChild>
            <w:div w:id="1500341056">
              <w:marLeft w:val="0"/>
              <w:marRight w:val="0"/>
              <w:marTop w:val="0"/>
              <w:marBottom w:val="0"/>
              <w:divBdr>
                <w:top w:val="none" w:sz="0" w:space="0" w:color="auto"/>
                <w:left w:val="none" w:sz="0" w:space="0" w:color="auto"/>
                <w:bottom w:val="none" w:sz="0" w:space="0" w:color="auto"/>
                <w:right w:val="none" w:sz="0" w:space="0" w:color="auto"/>
              </w:divBdr>
              <w:divsChild>
                <w:div w:id="185170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577404612">
      <w:bodyDiv w:val="1"/>
      <w:marLeft w:val="0"/>
      <w:marRight w:val="0"/>
      <w:marTop w:val="0"/>
      <w:marBottom w:val="0"/>
      <w:divBdr>
        <w:top w:val="none" w:sz="0" w:space="0" w:color="auto"/>
        <w:left w:val="none" w:sz="0" w:space="0" w:color="auto"/>
        <w:bottom w:val="none" w:sz="0" w:space="0" w:color="auto"/>
        <w:right w:val="none" w:sz="0" w:space="0" w:color="auto"/>
      </w:divBdr>
      <w:divsChild>
        <w:div w:id="2087342687">
          <w:marLeft w:val="0"/>
          <w:marRight w:val="0"/>
          <w:marTop w:val="0"/>
          <w:marBottom w:val="0"/>
          <w:divBdr>
            <w:top w:val="none" w:sz="0" w:space="0" w:color="auto"/>
            <w:left w:val="none" w:sz="0" w:space="0" w:color="auto"/>
            <w:bottom w:val="none" w:sz="0" w:space="0" w:color="auto"/>
            <w:right w:val="none" w:sz="0" w:space="0" w:color="auto"/>
          </w:divBdr>
          <w:divsChild>
            <w:div w:id="895818700">
              <w:marLeft w:val="0"/>
              <w:marRight w:val="0"/>
              <w:marTop w:val="0"/>
              <w:marBottom w:val="0"/>
              <w:divBdr>
                <w:top w:val="none" w:sz="0" w:space="0" w:color="auto"/>
                <w:left w:val="none" w:sz="0" w:space="0" w:color="auto"/>
                <w:bottom w:val="none" w:sz="0" w:space="0" w:color="auto"/>
                <w:right w:val="none" w:sz="0" w:space="0" w:color="auto"/>
              </w:divBdr>
              <w:divsChild>
                <w:div w:id="488862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15293126">
      <w:bodyDiv w:val="1"/>
      <w:marLeft w:val="0"/>
      <w:marRight w:val="0"/>
      <w:marTop w:val="0"/>
      <w:marBottom w:val="0"/>
      <w:divBdr>
        <w:top w:val="none" w:sz="0" w:space="0" w:color="auto"/>
        <w:left w:val="none" w:sz="0" w:space="0" w:color="auto"/>
        <w:bottom w:val="none" w:sz="0" w:space="0" w:color="auto"/>
        <w:right w:val="none" w:sz="0" w:space="0" w:color="auto"/>
      </w:divBdr>
      <w:divsChild>
        <w:div w:id="35014338">
          <w:marLeft w:val="0"/>
          <w:marRight w:val="0"/>
          <w:marTop w:val="0"/>
          <w:marBottom w:val="0"/>
          <w:divBdr>
            <w:top w:val="none" w:sz="0" w:space="0" w:color="auto"/>
            <w:left w:val="none" w:sz="0" w:space="0" w:color="auto"/>
            <w:bottom w:val="none" w:sz="0" w:space="0" w:color="auto"/>
            <w:right w:val="none" w:sz="0" w:space="0" w:color="auto"/>
          </w:divBdr>
          <w:divsChild>
            <w:div w:id="1758861263">
              <w:marLeft w:val="0"/>
              <w:marRight w:val="0"/>
              <w:marTop w:val="0"/>
              <w:marBottom w:val="0"/>
              <w:divBdr>
                <w:top w:val="none" w:sz="0" w:space="0" w:color="auto"/>
                <w:left w:val="none" w:sz="0" w:space="0" w:color="auto"/>
                <w:bottom w:val="none" w:sz="0" w:space="0" w:color="auto"/>
                <w:right w:val="none" w:sz="0" w:space="0" w:color="auto"/>
              </w:divBdr>
              <w:divsChild>
                <w:div w:id="14054472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36039163">
      <w:bodyDiv w:val="1"/>
      <w:marLeft w:val="0"/>
      <w:marRight w:val="0"/>
      <w:marTop w:val="0"/>
      <w:marBottom w:val="0"/>
      <w:divBdr>
        <w:top w:val="none" w:sz="0" w:space="0" w:color="auto"/>
        <w:left w:val="none" w:sz="0" w:space="0" w:color="auto"/>
        <w:bottom w:val="none" w:sz="0" w:space="0" w:color="auto"/>
        <w:right w:val="none" w:sz="0" w:space="0" w:color="auto"/>
      </w:divBdr>
      <w:divsChild>
        <w:div w:id="1426028354">
          <w:marLeft w:val="0"/>
          <w:marRight w:val="0"/>
          <w:marTop w:val="0"/>
          <w:marBottom w:val="0"/>
          <w:divBdr>
            <w:top w:val="none" w:sz="0" w:space="0" w:color="auto"/>
            <w:left w:val="none" w:sz="0" w:space="0" w:color="auto"/>
            <w:bottom w:val="none" w:sz="0" w:space="0" w:color="auto"/>
            <w:right w:val="none" w:sz="0" w:space="0" w:color="auto"/>
          </w:divBdr>
          <w:divsChild>
            <w:div w:id="392587093">
              <w:marLeft w:val="0"/>
              <w:marRight w:val="0"/>
              <w:marTop w:val="0"/>
              <w:marBottom w:val="0"/>
              <w:divBdr>
                <w:top w:val="none" w:sz="0" w:space="0" w:color="auto"/>
                <w:left w:val="none" w:sz="0" w:space="0" w:color="auto"/>
                <w:bottom w:val="none" w:sz="0" w:space="0" w:color="auto"/>
                <w:right w:val="none" w:sz="0" w:space="0" w:color="auto"/>
              </w:divBdr>
              <w:divsChild>
                <w:div w:id="17149578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policyfunding/memos/june2017/Proposals_to_Boards_Equitable_Access_PSE_en.pdf" TargetMode="External"/><Relationship Id="rId13" Type="http://schemas.openxmlformats.org/officeDocument/2006/relationships/hyperlink" Target="http://www.ontariodirectors.ca/downloads/Listening_Stone/Dion_LS_Final_Report%20Sept_10-2014-2.pdf" TargetMode="External"/><Relationship Id="rId3" Type="http://schemas.openxmlformats.org/officeDocument/2006/relationships/settings" Target="settings.xml"/><Relationship Id="rId7" Type="http://schemas.openxmlformats.org/officeDocument/2006/relationships/hyperlink" Target="http://www.edu.gov.on.ca/eng/students/speakup/projects.html" TargetMode="External"/><Relationship Id="rId12" Type="http://schemas.openxmlformats.org/officeDocument/2006/relationships/hyperlink" Target="http://www.edu.gov.on.ca/eng/policyfunding/memos/dec2013/reEngageInitiativ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du.gov.on.ca/eng/funding/1819/GSNGuide2018-19Revised.pdf" TargetMode="External"/><Relationship Id="rId11" Type="http://schemas.openxmlformats.org/officeDocument/2006/relationships/hyperlink" Target="http://www.edu.gov.on.ca/eng/about/action_plan.html" TargetMode="External"/><Relationship Id="rId5" Type="http://schemas.openxmlformats.org/officeDocument/2006/relationships/hyperlink" Target="http://www.edu.gov.on.ca/eng/policyfunding/memos/march2018/dm-epo-funding-year-end-en.pdf" TargetMode="External"/><Relationship Id="rId15" Type="http://schemas.openxmlformats.org/officeDocument/2006/relationships/hyperlink" Target="http://www.edu.gov.on.ca/eng/policyfunding/memos/oct2017/Funding-to-Promote-Well-Being.pdf" TargetMode="External"/><Relationship Id="rId10" Type="http://schemas.openxmlformats.org/officeDocument/2006/relationships/hyperlink" Target="http://www.edu.gov.on.ca/eng/policyfunding/memos/june2017/201718_Tutors_Classroom_Program.html" TargetMode="External"/><Relationship Id="rId4" Type="http://schemas.openxmlformats.org/officeDocument/2006/relationships/webSettings" Target="webSettings.xml"/><Relationship Id="rId9" Type="http://schemas.openxmlformats.org/officeDocument/2006/relationships/hyperlink" Target="http://www.edu.gov.on.ca/eng/students/youth.html" TargetMode="External"/><Relationship Id="rId14" Type="http://schemas.openxmlformats.org/officeDocument/2006/relationships/hyperlink" Target="http://www.edugains.ca/newsite/21stCenturyLearning/about_learning_in_ontari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1</cp:revision>
  <dcterms:created xsi:type="dcterms:W3CDTF">2019-01-16T15:52:00Z</dcterms:created>
  <dcterms:modified xsi:type="dcterms:W3CDTF">2019-01-16T16:05:00Z</dcterms:modified>
</cp:coreProperties>
</file>