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58E5" w14:textId="6B0785CD" w:rsidR="008A0524" w:rsidRDefault="00000000" w:rsidP="001558E0">
      <w:pPr>
        <w:jc w:val="center"/>
      </w:pPr>
    </w:p>
    <w:p w14:paraId="52CFE0B5" w14:textId="77777777" w:rsidR="001558E0" w:rsidRDefault="001558E0" w:rsidP="001558E0">
      <w:pPr>
        <w:jc w:val="center"/>
      </w:pPr>
      <w:r>
        <w:rPr>
          <w:noProof/>
        </w:rPr>
        <w:drawing>
          <wp:inline distT="0" distB="0" distL="0" distR="0" wp14:anchorId="5F48B7F4" wp14:editId="03C60075">
            <wp:extent cx="3347085" cy="822960"/>
            <wp:effectExtent l="0" t="0" r="571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14:paraId="0BEC6150" w14:textId="77777777" w:rsidR="001558E0" w:rsidRPr="005616E5" w:rsidRDefault="001558E0" w:rsidP="001558E0">
      <w:pPr>
        <w:spacing w:after="200" w:line="276" w:lineRule="auto"/>
        <w:jc w:val="center"/>
        <w:rPr>
          <w:b/>
          <w:sz w:val="40"/>
          <w:szCs w:val="40"/>
        </w:rPr>
      </w:pPr>
      <w:r w:rsidRPr="005616E5">
        <w:rPr>
          <w:b/>
          <w:sz w:val="40"/>
          <w:szCs w:val="40"/>
        </w:rPr>
        <w:t>LDAO SEAC CIRCULAR</w:t>
      </w:r>
    </w:p>
    <w:p w14:paraId="065E0093" w14:textId="111C902C" w:rsidR="001558E0" w:rsidRDefault="001558E0" w:rsidP="001558E0">
      <w:pPr>
        <w:spacing w:after="200" w:line="276" w:lineRule="auto"/>
        <w:jc w:val="center"/>
        <w:rPr>
          <w:b/>
          <w:sz w:val="32"/>
          <w:szCs w:val="32"/>
        </w:rPr>
      </w:pPr>
      <w:r>
        <w:rPr>
          <w:b/>
          <w:sz w:val="32"/>
          <w:szCs w:val="32"/>
        </w:rPr>
        <w:t>September</w:t>
      </w:r>
      <w:r w:rsidRPr="005616E5">
        <w:rPr>
          <w:b/>
          <w:sz w:val="32"/>
          <w:szCs w:val="32"/>
        </w:rPr>
        <w:t xml:space="preserve"> 202</w:t>
      </w:r>
      <w:r>
        <w:rPr>
          <w:b/>
          <w:sz w:val="32"/>
          <w:szCs w:val="32"/>
        </w:rPr>
        <w:t>2</w:t>
      </w:r>
    </w:p>
    <w:p w14:paraId="5772CC9A" w14:textId="77777777" w:rsidR="001558E0" w:rsidRPr="005616E5" w:rsidRDefault="001558E0" w:rsidP="001558E0">
      <w:pPr>
        <w:spacing w:after="200" w:line="276" w:lineRule="auto"/>
      </w:pPr>
      <w:r w:rsidRPr="005616E5">
        <w:t>The Learning Disabilities Association of Ontario (LDAO) SEAC Circular is published 5 times a year, usually in September, November, February, April and June.</w:t>
      </w:r>
    </w:p>
    <w:p w14:paraId="6A2011E0" w14:textId="77777777" w:rsidR="001558E0" w:rsidRPr="005616E5" w:rsidRDefault="001558E0" w:rsidP="001558E0">
      <w:pPr>
        <w:spacing w:after="200" w:line="276" w:lineRule="auto"/>
      </w:pPr>
      <w:r w:rsidRPr="005616E5">
        <w:t xml:space="preserve">The following are some topics that your SEAC should be looking at. Action items and/or recommendations for effective practices will be </w:t>
      </w:r>
      <w:r w:rsidRPr="005616E5">
        <w:rPr>
          <w:u w:val="single"/>
        </w:rPr>
        <w:t>underlined</w:t>
      </w:r>
      <w:r w:rsidRPr="005616E5">
        <w:t xml:space="preserve">. </w:t>
      </w:r>
    </w:p>
    <w:p w14:paraId="6B5AA7B9" w14:textId="77777777" w:rsidR="001558E0" w:rsidRPr="005616E5" w:rsidRDefault="001558E0" w:rsidP="001558E0">
      <w:pPr>
        <w:spacing w:after="200" w:line="276" w:lineRule="auto"/>
      </w:pPr>
      <w:r w:rsidRPr="005616E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0FE14CE3" w14:textId="77777777" w:rsidR="001558E0" w:rsidRDefault="001558E0" w:rsidP="001558E0">
      <w:pPr>
        <w:spacing w:after="200" w:line="276" w:lineRule="auto"/>
        <w:rPr>
          <w:b/>
        </w:rPr>
      </w:pPr>
      <w:r w:rsidRPr="005616E5">
        <w:rPr>
          <w:b/>
        </w:rPr>
        <w:br/>
        <w:t>Topics covered by this SEAC Circular:</w:t>
      </w:r>
    </w:p>
    <w:p w14:paraId="29041BCF" w14:textId="77777777" w:rsidR="001558E0" w:rsidRDefault="001558E0" w:rsidP="001558E0">
      <w:r>
        <w:rPr>
          <w:bCs/>
        </w:rPr>
        <w:t xml:space="preserve">1. </w:t>
      </w:r>
      <w:r>
        <w:t>Planning for the SEAC year</w:t>
      </w:r>
    </w:p>
    <w:p w14:paraId="1DAB8B20" w14:textId="11FB60EA" w:rsidR="001558E0" w:rsidRDefault="001558E0" w:rsidP="001558E0">
      <w:bookmarkStart w:id="0" w:name="_Hlk114476408"/>
      <w:bookmarkStart w:id="1" w:name="_Hlk82516940"/>
      <w:r>
        <w:t>2. Ministry of Education Updates</w:t>
      </w:r>
    </w:p>
    <w:bookmarkEnd w:id="0"/>
    <w:p w14:paraId="73C1A1EF" w14:textId="6CADB6C9" w:rsidR="001558E0" w:rsidRDefault="001E2B6F" w:rsidP="001558E0">
      <w:r w:rsidRPr="001E2B6F">
        <w:t>3. SEAC recruitment for ne</w:t>
      </w:r>
      <w:r>
        <w:t>w</w:t>
      </w:r>
      <w:r w:rsidRPr="001E2B6F">
        <w:t xml:space="preserve"> term</w:t>
      </w:r>
      <w:r>
        <w:br/>
      </w:r>
    </w:p>
    <w:p w14:paraId="72FB1918" w14:textId="5DE981F1" w:rsidR="001558E0" w:rsidRDefault="001558E0" w:rsidP="001558E0">
      <w:pPr>
        <w:rPr>
          <w:b/>
        </w:rPr>
      </w:pPr>
      <w:r w:rsidRPr="00540C5F">
        <w:rPr>
          <w:b/>
        </w:rPr>
        <w:t>Li</w:t>
      </w:r>
      <w:r w:rsidR="00317F8B">
        <w:rPr>
          <w:b/>
        </w:rPr>
        <w:t>st</w:t>
      </w:r>
      <w:r w:rsidRPr="00540C5F">
        <w:rPr>
          <w:b/>
        </w:rPr>
        <w:t xml:space="preserve"> of Supplementary Materials:</w:t>
      </w:r>
    </w:p>
    <w:p w14:paraId="25FEA455" w14:textId="79899AAD" w:rsidR="001558E0" w:rsidRPr="00317F8B" w:rsidRDefault="001558E0" w:rsidP="00317F8B">
      <w:pPr>
        <w:pStyle w:val="ListParagraph"/>
        <w:numPr>
          <w:ilvl w:val="0"/>
          <w:numId w:val="3"/>
        </w:numPr>
        <w:rPr>
          <w:bCs/>
        </w:rPr>
      </w:pPr>
      <w:r w:rsidRPr="00317F8B">
        <w:rPr>
          <w:bCs/>
        </w:rPr>
        <w:t>PAAC on SEAC Calendar 2022-23</w:t>
      </w:r>
    </w:p>
    <w:p w14:paraId="0D5D9F48" w14:textId="6DD3BBF8" w:rsidR="00317F8B" w:rsidRPr="00317F8B" w:rsidRDefault="00317F8B" w:rsidP="00317F8B">
      <w:pPr>
        <w:rPr>
          <w:bCs/>
        </w:rPr>
      </w:pPr>
      <w:r w:rsidRPr="00317F8B">
        <w:rPr>
          <w:bCs/>
        </w:rPr>
        <w:t>2.</w:t>
      </w:r>
      <w:r>
        <w:rPr>
          <w:bCs/>
        </w:rPr>
        <w:t xml:space="preserve">   Sept. 2, </w:t>
      </w:r>
      <w:proofErr w:type="gramStart"/>
      <w:r>
        <w:rPr>
          <w:bCs/>
        </w:rPr>
        <w:t>2022</w:t>
      </w:r>
      <w:proofErr w:type="gramEnd"/>
      <w:r>
        <w:rPr>
          <w:bCs/>
        </w:rPr>
        <w:t xml:space="preserve"> Back to School Memo</w:t>
      </w:r>
    </w:p>
    <w:p w14:paraId="2620F1AD" w14:textId="77AD8404" w:rsidR="00750EE2" w:rsidRDefault="00750EE2" w:rsidP="00750EE2">
      <w:pPr>
        <w:rPr>
          <w:bCs/>
        </w:rPr>
      </w:pPr>
      <w:r w:rsidRPr="00750EE2">
        <w:rPr>
          <w:bCs/>
        </w:rPr>
        <w:t>3.</w:t>
      </w:r>
      <w:r>
        <w:rPr>
          <w:bCs/>
        </w:rPr>
        <w:t xml:space="preserve"> </w:t>
      </w:r>
      <w:r w:rsidR="00317F8B">
        <w:rPr>
          <w:bCs/>
        </w:rPr>
        <w:t xml:space="preserve">  </w:t>
      </w:r>
      <w:r w:rsidRPr="00750EE2">
        <w:rPr>
          <w:bCs/>
        </w:rPr>
        <w:t>Sept</w:t>
      </w:r>
      <w:r w:rsidR="00317F8B">
        <w:rPr>
          <w:bCs/>
        </w:rPr>
        <w:t>.</w:t>
      </w:r>
      <w:r w:rsidRPr="00750EE2">
        <w:rPr>
          <w:bCs/>
        </w:rPr>
        <w:t xml:space="preserve"> 2, </w:t>
      </w:r>
      <w:proofErr w:type="gramStart"/>
      <w:r w:rsidRPr="00750EE2">
        <w:rPr>
          <w:bCs/>
        </w:rPr>
        <w:t>2022</w:t>
      </w:r>
      <w:proofErr w:type="gramEnd"/>
      <w:r w:rsidRPr="00750EE2">
        <w:rPr>
          <w:bCs/>
        </w:rPr>
        <w:t xml:space="preserve"> Memo Online Learning Implementation Update</w:t>
      </w:r>
    </w:p>
    <w:p w14:paraId="56AE8EC7" w14:textId="56BCA4DF" w:rsidR="001E2B6F" w:rsidRDefault="001E2B6F" w:rsidP="00750EE2">
      <w:pPr>
        <w:rPr>
          <w:bCs/>
          <w:lang w:val="en-US"/>
        </w:rPr>
      </w:pPr>
      <w:r>
        <w:rPr>
          <w:bCs/>
        </w:rPr>
        <w:t xml:space="preserve">4.   </w:t>
      </w:r>
      <w:r w:rsidRPr="001E2B6F">
        <w:rPr>
          <w:bCs/>
        </w:rPr>
        <w:t xml:space="preserve">PAAC on SEAC Tip Sheet – </w:t>
      </w:r>
      <w:r w:rsidRPr="001E2B6F">
        <w:rPr>
          <w:bCs/>
          <w:lang w:val="en-US"/>
        </w:rPr>
        <w:t>Effective Practices for Recruitment of Local Association Members for SEAC</w:t>
      </w:r>
    </w:p>
    <w:p w14:paraId="14AC7F8D" w14:textId="77777777" w:rsidR="001E2B6F" w:rsidRPr="001E2B6F" w:rsidRDefault="001E2B6F" w:rsidP="001E2B6F">
      <w:pPr>
        <w:rPr>
          <w:b/>
          <w:bCs/>
        </w:rPr>
      </w:pPr>
      <w:r>
        <w:rPr>
          <w:bCs/>
          <w:lang w:val="en-US"/>
        </w:rPr>
        <w:br/>
      </w:r>
      <w:r w:rsidRPr="001E2B6F">
        <w:rPr>
          <w:b/>
          <w:bCs/>
        </w:rPr>
        <w:t xml:space="preserve">Note: </w:t>
      </w:r>
      <w:r w:rsidRPr="001E2B6F">
        <w:rPr>
          <w:bCs/>
        </w:rPr>
        <w:t>You can access the SEAC Circular and supplementary materials at</w:t>
      </w:r>
      <w:r w:rsidRPr="001E2B6F">
        <w:rPr>
          <w:bCs/>
        </w:rPr>
        <w:br/>
      </w:r>
      <w:hyperlink r:id="rId8" w:history="1">
        <w:r w:rsidRPr="001E2B6F">
          <w:rPr>
            <w:rStyle w:val="Hyperlink"/>
            <w:bCs/>
          </w:rPr>
          <w:t>www.ldao.ca/about/public-policy-advocacy/seac-circulars/</w:t>
        </w:r>
      </w:hyperlink>
      <w:r w:rsidRPr="001E2B6F">
        <w:rPr>
          <w:bCs/>
        </w:rPr>
        <w:t>.</w:t>
      </w:r>
      <w:r w:rsidRPr="001E2B6F">
        <w:rPr>
          <w:b/>
          <w:bCs/>
        </w:rPr>
        <w:t xml:space="preserve"> </w:t>
      </w:r>
    </w:p>
    <w:p w14:paraId="1E0DF134" w14:textId="38A608B5" w:rsidR="001E2B6F" w:rsidRPr="00750EE2" w:rsidRDefault="001E2B6F" w:rsidP="001E2B6F">
      <w:pPr>
        <w:rPr>
          <w:bCs/>
        </w:rPr>
      </w:pPr>
      <w:r w:rsidRPr="001E2B6F">
        <w:rPr>
          <w:bCs/>
          <w:lang w:val="en-US"/>
        </w:rPr>
        <w:t xml:space="preserve">You can access Ministry funding (B &amp; SB) memos by date at: </w:t>
      </w:r>
      <w:hyperlink r:id="rId9" w:tgtFrame="_blank" w:history="1">
        <w:r w:rsidRPr="001E2B6F">
          <w:rPr>
            <w:rStyle w:val="Hyperlink"/>
            <w:bCs/>
          </w:rPr>
          <w:t>https://efis.fma.csc.gov.on.ca/faab/Memos.htm</w:t>
        </w:r>
      </w:hyperlink>
    </w:p>
    <w:p w14:paraId="65A2E86C" w14:textId="58E43D95" w:rsidR="00750EE2" w:rsidRPr="00750EE2" w:rsidRDefault="00750EE2" w:rsidP="00750EE2">
      <w:pPr>
        <w:rPr>
          <w:bCs/>
        </w:rPr>
      </w:pPr>
    </w:p>
    <w:p w14:paraId="32C4C7F5" w14:textId="77777777" w:rsidR="00B53160" w:rsidRPr="00B53160" w:rsidRDefault="00B53160" w:rsidP="00B53160">
      <w:pPr>
        <w:rPr>
          <w:b/>
          <w:bCs/>
        </w:rPr>
      </w:pPr>
      <w:r w:rsidRPr="00B53160">
        <w:rPr>
          <w:b/>
          <w:bCs/>
        </w:rPr>
        <w:lastRenderedPageBreak/>
        <w:t>1. Planning for the SEAC year</w:t>
      </w:r>
    </w:p>
    <w:p w14:paraId="4237D446" w14:textId="5B1B0C89" w:rsidR="00B53160" w:rsidRPr="00B53160" w:rsidRDefault="00B53160" w:rsidP="00B53160">
      <w:pPr>
        <w:rPr>
          <w:bCs/>
        </w:rPr>
      </w:pPr>
      <w:r w:rsidRPr="00B53160">
        <w:rPr>
          <w:bCs/>
        </w:rPr>
        <w:t xml:space="preserve">The attached </w:t>
      </w:r>
      <w:r w:rsidRPr="00B53160">
        <w:rPr>
          <w:b/>
          <w:bCs/>
        </w:rPr>
        <w:t>PAAC on SEAC Annual Calendar</w:t>
      </w:r>
      <w:r w:rsidRPr="00B53160">
        <w:rPr>
          <w:bCs/>
        </w:rPr>
        <w:t xml:space="preserve"> can be used to help plan SEAC activities for the </w:t>
      </w:r>
      <w:r w:rsidR="00C83B61">
        <w:rPr>
          <w:bCs/>
        </w:rPr>
        <w:t xml:space="preserve">2022-23 </w:t>
      </w:r>
      <w:r w:rsidRPr="00B53160">
        <w:rPr>
          <w:bCs/>
        </w:rPr>
        <w:t>school year.</w:t>
      </w:r>
    </w:p>
    <w:p w14:paraId="72D76C33" w14:textId="77777777" w:rsidR="00B53160" w:rsidRPr="00B53160" w:rsidRDefault="00B53160" w:rsidP="00B53160">
      <w:pPr>
        <w:rPr>
          <w:bCs/>
          <w:lang w:val="en-US"/>
        </w:rPr>
      </w:pPr>
      <w:r w:rsidRPr="00B53160">
        <w:rPr>
          <w:bCs/>
          <w:lang w:val="en-US"/>
        </w:rPr>
        <w:t xml:space="preserve">The </w:t>
      </w:r>
      <w:r w:rsidRPr="00B53160">
        <w:rPr>
          <w:bCs/>
          <w:i/>
          <w:lang w:val="en-US"/>
        </w:rPr>
        <w:t>PAAC on SEAC Effective Practices Handbook</w:t>
      </w:r>
      <w:r w:rsidRPr="00B53160">
        <w:rPr>
          <w:bCs/>
          <w:lang w:val="en-US"/>
        </w:rPr>
        <w:t xml:space="preserve"> (2016) outlines effective practices to help </w:t>
      </w:r>
      <w:r w:rsidRPr="00B53160">
        <w:rPr>
          <w:bCs/>
        </w:rPr>
        <w:t xml:space="preserve">SEACs develop an annual plan (see: </w:t>
      </w:r>
      <w:r w:rsidRPr="00B53160">
        <w:rPr>
          <w:b/>
          <w:bCs/>
          <w:lang w:val="en-US"/>
        </w:rPr>
        <w:t>Section 3 SEAC Roles &amp; Responsibilities,</w:t>
      </w:r>
      <w:r w:rsidRPr="00B53160">
        <w:rPr>
          <w:bCs/>
          <w:lang w:val="en-US"/>
        </w:rPr>
        <w:t xml:space="preserve"> </w:t>
      </w:r>
      <w:hyperlink r:id="rId10" w:history="1">
        <w:r w:rsidRPr="00B53160">
          <w:rPr>
            <w:rStyle w:val="Hyperlink"/>
            <w:bCs/>
            <w:lang w:val="en-US"/>
          </w:rPr>
          <w:t>http://www.paac-seac.ca/home/paac-on-seac-effective-practices-handbook-for-seac-members/section-3-seac-roles-and-responsibilities/3-1-annual-planning/</w:t>
        </w:r>
      </w:hyperlink>
      <w:r w:rsidRPr="00B53160">
        <w:rPr>
          <w:bCs/>
          <w:lang w:val="en-US"/>
        </w:rPr>
        <w:t>)</w:t>
      </w:r>
    </w:p>
    <w:p w14:paraId="75EFB83F" w14:textId="7AE639AA" w:rsidR="00750EE2" w:rsidRDefault="00750EE2" w:rsidP="00750EE2">
      <w:pPr>
        <w:rPr>
          <w:bCs/>
        </w:rPr>
      </w:pPr>
    </w:p>
    <w:p w14:paraId="5A3D0E47" w14:textId="306D5AA2" w:rsidR="00B53160" w:rsidRPr="00CC1479" w:rsidRDefault="00B53160" w:rsidP="00B53160">
      <w:pPr>
        <w:pStyle w:val="ListParagraph"/>
        <w:numPr>
          <w:ilvl w:val="0"/>
          <w:numId w:val="3"/>
        </w:numPr>
        <w:rPr>
          <w:b/>
        </w:rPr>
      </w:pPr>
      <w:r w:rsidRPr="00CC1479">
        <w:rPr>
          <w:b/>
        </w:rPr>
        <w:t>Ministry of Education Updates</w:t>
      </w:r>
    </w:p>
    <w:p w14:paraId="725B3782" w14:textId="5ED66848" w:rsidR="00B53160" w:rsidRDefault="00B53160" w:rsidP="00B53160">
      <w:pPr>
        <w:pStyle w:val="ListParagraph"/>
        <w:ind w:left="360"/>
        <w:rPr>
          <w:bCs/>
        </w:rPr>
      </w:pPr>
    </w:p>
    <w:p w14:paraId="626B8A1D" w14:textId="73E199AF" w:rsidR="00B53160" w:rsidRDefault="00062B5F" w:rsidP="00B53160">
      <w:pPr>
        <w:pStyle w:val="ListParagraph"/>
        <w:ind w:left="0"/>
        <w:rPr>
          <w:bCs/>
        </w:rPr>
      </w:pPr>
      <w:r>
        <w:rPr>
          <w:bCs/>
        </w:rPr>
        <w:t xml:space="preserve">The </w:t>
      </w:r>
      <w:r w:rsidRPr="00F43885">
        <w:rPr>
          <w:b/>
        </w:rPr>
        <w:t xml:space="preserve">September 2, </w:t>
      </w:r>
      <w:proofErr w:type="gramStart"/>
      <w:r w:rsidRPr="00F43885">
        <w:rPr>
          <w:b/>
        </w:rPr>
        <w:t>2022</w:t>
      </w:r>
      <w:proofErr w:type="gramEnd"/>
      <w:r w:rsidRPr="00F43885">
        <w:rPr>
          <w:b/>
        </w:rPr>
        <w:t xml:space="preserve"> Memo on Back to School</w:t>
      </w:r>
      <w:r>
        <w:rPr>
          <w:bCs/>
        </w:rPr>
        <w:t xml:space="preserve"> (attached) outlines Ministry priorities for the coming academic year. Some highlights include:</w:t>
      </w:r>
    </w:p>
    <w:p w14:paraId="30D1D479" w14:textId="7CD0F035" w:rsidR="00062B5F" w:rsidRDefault="00062B5F" w:rsidP="00B53160">
      <w:pPr>
        <w:pStyle w:val="ListParagraph"/>
        <w:ind w:left="0"/>
        <w:rPr>
          <w:bCs/>
        </w:rPr>
      </w:pPr>
    </w:p>
    <w:p w14:paraId="769C21AE" w14:textId="69537668" w:rsidR="00062B5F" w:rsidRPr="00062B5F" w:rsidRDefault="00062B5F" w:rsidP="00B53160">
      <w:pPr>
        <w:pStyle w:val="ListParagraph"/>
        <w:ind w:left="0"/>
        <w:rPr>
          <w:b/>
        </w:rPr>
      </w:pPr>
      <w:r w:rsidRPr="00062B5F">
        <w:rPr>
          <w:b/>
        </w:rPr>
        <w:t>Tutoring Supports</w:t>
      </w:r>
    </w:p>
    <w:p w14:paraId="245BB7FF" w14:textId="3BD34E47" w:rsidR="00062B5F" w:rsidRDefault="00062B5F" w:rsidP="00062B5F">
      <w:pPr>
        <w:pStyle w:val="ListParagraph"/>
        <w:ind w:left="0"/>
        <w:rPr>
          <w:bCs/>
        </w:rPr>
      </w:pPr>
      <w:r w:rsidRPr="00062B5F">
        <w:rPr>
          <w:bCs/>
        </w:rPr>
        <w:t>This program is expanding access to tutoring in small groups, after school, during school, and/or on weekends, to ensure students get the supports they need. School boards are asked to share information about their local tutoring programs with parents and Members of Provincial Parliament to help spread the word about these important supports.</w:t>
      </w:r>
    </w:p>
    <w:p w14:paraId="346ED9C7" w14:textId="1BA574EC" w:rsidR="00062B5F" w:rsidRDefault="00062B5F" w:rsidP="00062B5F">
      <w:pPr>
        <w:pStyle w:val="ListParagraph"/>
        <w:ind w:left="0"/>
        <w:rPr>
          <w:bCs/>
        </w:rPr>
      </w:pPr>
    </w:p>
    <w:p w14:paraId="23521F80" w14:textId="77777777" w:rsidR="00062B5F" w:rsidRPr="00062B5F" w:rsidRDefault="00062B5F" w:rsidP="00062B5F">
      <w:pPr>
        <w:pStyle w:val="ListParagraph"/>
        <w:ind w:left="0"/>
        <w:rPr>
          <w:bCs/>
        </w:rPr>
      </w:pPr>
      <w:r w:rsidRPr="00062B5F">
        <w:rPr>
          <w:bCs/>
          <w:lang w:val="en-US"/>
        </w:rPr>
        <w:t xml:space="preserve">School boards are also asked to share with students and </w:t>
      </w:r>
      <w:proofErr w:type="gramStart"/>
      <w:r w:rsidRPr="00062B5F">
        <w:rPr>
          <w:bCs/>
          <w:lang w:val="en-US"/>
        </w:rPr>
        <w:t>families</w:t>
      </w:r>
      <w:proofErr w:type="gramEnd"/>
      <w:r w:rsidRPr="00062B5F">
        <w:rPr>
          <w:bCs/>
          <w:lang w:val="en-US"/>
        </w:rPr>
        <w:t xml:space="preserve"> information regarding the availability of virtual tutoring. Supported by our increased investments, </w:t>
      </w:r>
      <w:proofErr w:type="spellStart"/>
      <w:r w:rsidRPr="00062B5F">
        <w:rPr>
          <w:bCs/>
          <w:lang w:val="en-US"/>
        </w:rPr>
        <w:t>Mathify</w:t>
      </w:r>
      <w:proofErr w:type="spellEnd"/>
      <w:r w:rsidRPr="00062B5F">
        <w:rPr>
          <w:bCs/>
          <w:lang w:val="en-US"/>
        </w:rPr>
        <w:t xml:space="preserve"> English-language online math tutoring services have been expanded and are now available to students in Grades 4-11 (previously Grades 6-10), along with expanded hours on weekends. </w:t>
      </w:r>
      <w:proofErr w:type="spellStart"/>
      <w:r w:rsidRPr="00062B5F">
        <w:rPr>
          <w:bCs/>
          <w:lang w:val="en-US"/>
        </w:rPr>
        <w:t>Eurêka</w:t>
      </w:r>
      <w:proofErr w:type="spellEnd"/>
      <w:r w:rsidRPr="00062B5F">
        <w:rPr>
          <w:bCs/>
          <w:lang w:val="en-US"/>
        </w:rPr>
        <w:t>! French-language online tutoring services are offered to all students in Grades 1-12 in all subjects and have recently expanded French supports for students in Grades 1-2, and for Math, Grades 7-9 and 11-12. </w:t>
      </w:r>
    </w:p>
    <w:p w14:paraId="35833C1B" w14:textId="77777777" w:rsidR="00062B5F" w:rsidRPr="00062B5F" w:rsidRDefault="00062B5F" w:rsidP="00062B5F">
      <w:pPr>
        <w:pStyle w:val="ListParagraph"/>
        <w:ind w:left="0"/>
        <w:rPr>
          <w:bCs/>
        </w:rPr>
      </w:pPr>
    </w:p>
    <w:p w14:paraId="41F25689" w14:textId="246CE3C5" w:rsidR="00062B5F" w:rsidRPr="00CC1479" w:rsidRDefault="00CC1479" w:rsidP="00B53160">
      <w:pPr>
        <w:pStyle w:val="ListParagraph"/>
        <w:ind w:left="0"/>
        <w:rPr>
          <w:bCs/>
          <w:u w:val="single"/>
        </w:rPr>
      </w:pPr>
      <w:r w:rsidRPr="00CC1479">
        <w:rPr>
          <w:bCs/>
          <w:u w:val="single"/>
        </w:rPr>
        <w:t xml:space="preserve">SEACs should ask for a report on the expanded tutoring services in their board, and </w:t>
      </w:r>
      <w:proofErr w:type="gramStart"/>
      <w:r w:rsidRPr="00CC1479">
        <w:rPr>
          <w:bCs/>
          <w:u w:val="single"/>
        </w:rPr>
        <w:t>in particular how</w:t>
      </w:r>
      <w:proofErr w:type="gramEnd"/>
      <w:r w:rsidRPr="00CC1479">
        <w:rPr>
          <w:bCs/>
          <w:u w:val="single"/>
        </w:rPr>
        <w:t xml:space="preserve"> these will be made available to students with special educational needs.</w:t>
      </w:r>
    </w:p>
    <w:p w14:paraId="73020F56" w14:textId="2320DFDE" w:rsidR="00266F6E" w:rsidRDefault="00266F6E" w:rsidP="00750EE2">
      <w:pPr>
        <w:rPr>
          <w:bCs/>
          <w:lang w:val="en-US"/>
        </w:rPr>
      </w:pPr>
      <w:r w:rsidRPr="00266F6E">
        <w:rPr>
          <w:b/>
          <w:lang w:val="en-US"/>
        </w:rPr>
        <w:t>Literacy Requirements</w:t>
      </w:r>
      <w:r>
        <w:rPr>
          <w:b/>
        </w:rPr>
        <w:br/>
      </w:r>
      <w:r w:rsidRPr="00266F6E">
        <w:rPr>
          <w:bCs/>
          <w:lang w:val="en-US"/>
        </w:rPr>
        <w:t>As communicated in the </w:t>
      </w:r>
      <w:hyperlink r:id="rId11" w:tgtFrame="_blank" w:history="1">
        <w:r w:rsidRPr="00266F6E">
          <w:rPr>
            <w:rStyle w:val="Hyperlink"/>
            <w:bCs/>
            <w:lang w:val="en-US"/>
          </w:rPr>
          <w:t>Planning for the 2021-22 School Year</w:t>
        </w:r>
      </w:hyperlink>
      <w:r w:rsidRPr="00266F6E">
        <w:rPr>
          <w:bCs/>
          <w:lang w:val="en-US"/>
        </w:rPr>
        <w:t xml:space="preserve"> memo, the literacy graduation requirement is restored beginning with students graduating in the 2022-23 school year. Students in Grades 10 and 11 and non-graduating students, including those who are learning remotely, are required to work towards the literacy graduation requirement, through participating in the Ontario Secondary School Literacy Test (OSSLT) or completing the </w:t>
      </w:r>
      <w:bookmarkStart w:id="2" w:name="_Hlk114478011"/>
      <w:r w:rsidRPr="00266F6E">
        <w:rPr>
          <w:bCs/>
          <w:lang w:val="en-US"/>
        </w:rPr>
        <w:t xml:space="preserve">Ontario Secondary School Literacy Course (OSSLC). </w:t>
      </w:r>
      <w:bookmarkEnd w:id="2"/>
      <w:r w:rsidRPr="00266F6E">
        <w:rPr>
          <w:bCs/>
          <w:lang w:val="en-US"/>
        </w:rPr>
        <w:t xml:space="preserve">To provide maximum flexibility for students to acquire the literacy graduation requirement, particularly for students enrolled in remote learning, students can be enrolled in the OSSLC </w:t>
      </w:r>
      <w:bookmarkStart w:id="3" w:name="_Hlk114478117"/>
      <w:r w:rsidRPr="00266F6E">
        <w:rPr>
          <w:bCs/>
          <w:lang w:val="en-US"/>
        </w:rPr>
        <w:t xml:space="preserve">without having attempted the OSSLT </w:t>
      </w:r>
      <w:bookmarkEnd w:id="3"/>
      <w:r w:rsidRPr="00266F6E">
        <w:rPr>
          <w:bCs/>
          <w:lang w:val="en-US"/>
        </w:rPr>
        <w:t>in 2022-23</w:t>
      </w:r>
      <w:r>
        <w:rPr>
          <w:bCs/>
          <w:lang w:val="en-US"/>
        </w:rPr>
        <w:t>.</w:t>
      </w:r>
    </w:p>
    <w:p w14:paraId="3F391294" w14:textId="66151AA5" w:rsidR="00266F6E" w:rsidRDefault="00266F6E" w:rsidP="00750EE2">
      <w:pPr>
        <w:rPr>
          <w:bCs/>
          <w:u w:val="single"/>
          <w:lang w:val="en-US"/>
        </w:rPr>
      </w:pPr>
      <w:r w:rsidRPr="00106400">
        <w:rPr>
          <w:bCs/>
          <w:u w:val="single"/>
          <w:lang w:val="en-US"/>
        </w:rPr>
        <w:t xml:space="preserve">SEAC members may want to share with their networks the opportunity in 2022-23 </w:t>
      </w:r>
      <w:r w:rsidR="00106400" w:rsidRPr="00106400">
        <w:rPr>
          <w:bCs/>
          <w:u w:val="single"/>
          <w:lang w:val="en-US"/>
        </w:rPr>
        <w:t xml:space="preserve">for students </w:t>
      </w:r>
      <w:r w:rsidRPr="00106400">
        <w:rPr>
          <w:bCs/>
          <w:u w:val="single"/>
          <w:lang w:val="en-US"/>
        </w:rPr>
        <w:t>to enroll in the Ontario Secondary School Literacy Course (OSSLC</w:t>
      </w:r>
      <w:r w:rsidR="00106400" w:rsidRPr="00106400">
        <w:rPr>
          <w:bCs/>
          <w:u w:val="single"/>
          <w:lang w:val="en-US"/>
        </w:rPr>
        <w:t>) without having attempted the OSSLT</w:t>
      </w:r>
      <w:r w:rsidR="0062562E">
        <w:rPr>
          <w:bCs/>
          <w:u w:val="single"/>
          <w:lang w:val="en-US"/>
        </w:rPr>
        <w:t xml:space="preserve">, and </w:t>
      </w:r>
      <w:r w:rsidR="004B0EC3">
        <w:rPr>
          <w:bCs/>
          <w:u w:val="single"/>
          <w:lang w:val="en-US"/>
        </w:rPr>
        <w:t xml:space="preserve">to </w:t>
      </w:r>
      <w:r w:rsidR="0062562E">
        <w:rPr>
          <w:bCs/>
          <w:u w:val="single"/>
          <w:lang w:val="en-US"/>
        </w:rPr>
        <w:t>ask their boards how this information is being shared with students with special education needs and their parents.</w:t>
      </w:r>
    </w:p>
    <w:p w14:paraId="0110932A" w14:textId="105A622E" w:rsidR="00106400" w:rsidRPr="00F43885" w:rsidRDefault="00106400" w:rsidP="00F43885">
      <w:pPr>
        <w:rPr>
          <w:b/>
          <w:bCs/>
          <w:lang w:val="en-US"/>
        </w:rPr>
      </w:pPr>
      <w:r w:rsidRPr="00106400">
        <w:rPr>
          <w:b/>
          <w:bCs/>
          <w:lang w:val="en-US"/>
        </w:rPr>
        <w:lastRenderedPageBreak/>
        <w:t>Early Reading</w:t>
      </w:r>
      <w:r w:rsidR="00F43885">
        <w:rPr>
          <w:b/>
          <w:bCs/>
          <w:lang w:val="en-US"/>
        </w:rPr>
        <w:br/>
      </w:r>
      <w:r w:rsidRPr="00FC4FBE">
        <w:rPr>
          <w:rFonts w:eastAsia="Times New Roman"/>
          <w:bdr w:val="none" w:sz="0" w:space="0" w:color="auto" w:frame="1"/>
          <w:lang w:val="en-US" w:eastAsia="en-CA"/>
        </w:rPr>
        <w:t>On February 28, 2022, in response to the Ontario Human Rights Commission’s (OHRC) </w:t>
      </w:r>
      <w:r w:rsidRPr="00FC4FBE">
        <w:rPr>
          <w:rFonts w:eastAsia="Times New Roman"/>
          <w:i/>
          <w:iCs/>
          <w:bdr w:val="none" w:sz="0" w:space="0" w:color="auto" w:frame="1"/>
          <w:lang w:val="en-US" w:eastAsia="en-CA"/>
        </w:rPr>
        <w:t>Right to Read</w:t>
      </w:r>
      <w:r w:rsidRPr="00FC4FBE">
        <w:rPr>
          <w:rFonts w:eastAsia="Times New Roman"/>
          <w:bdr w:val="none" w:sz="0" w:space="0" w:color="auto" w:frame="1"/>
          <w:lang w:val="en-US" w:eastAsia="en-CA"/>
        </w:rPr>
        <w:t xml:space="preserve"> report, the ministry committed to revising the elementary Language and </w:t>
      </w:r>
      <w:proofErr w:type="spellStart"/>
      <w:r w:rsidRPr="00FC4FBE">
        <w:rPr>
          <w:rFonts w:eastAsia="Times New Roman"/>
          <w:bdr w:val="none" w:sz="0" w:space="0" w:color="auto" w:frame="1"/>
          <w:lang w:val="en-US" w:eastAsia="en-CA"/>
        </w:rPr>
        <w:t>Français</w:t>
      </w:r>
      <w:proofErr w:type="spellEnd"/>
      <w:r w:rsidRPr="00FC4FBE">
        <w:rPr>
          <w:rFonts w:eastAsia="Times New Roman"/>
          <w:bdr w:val="none" w:sz="0" w:space="0" w:color="auto" w:frame="1"/>
          <w:lang w:val="en-US" w:eastAsia="en-CA"/>
        </w:rPr>
        <w:t xml:space="preserve"> curriculum and Grade 9 English and </w:t>
      </w:r>
      <w:proofErr w:type="spellStart"/>
      <w:r w:rsidRPr="00FC4FBE">
        <w:rPr>
          <w:rFonts w:eastAsia="Times New Roman"/>
          <w:bdr w:val="none" w:sz="0" w:space="0" w:color="auto" w:frame="1"/>
          <w:lang w:val="en-US" w:eastAsia="en-CA"/>
        </w:rPr>
        <w:t>Français</w:t>
      </w:r>
      <w:proofErr w:type="spellEnd"/>
      <w:r w:rsidRPr="00FC4FBE">
        <w:rPr>
          <w:rFonts w:eastAsia="Times New Roman"/>
          <w:bdr w:val="none" w:sz="0" w:space="0" w:color="auto" w:frame="1"/>
          <w:lang w:val="en-US" w:eastAsia="en-CA"/>
        </w:rPr>
        <w:t xml:space="preserve"> courses to align with scientific, evidence-based approaches that emphasize direct, </w:t>
      </w:r>
      <w:proofErr w:type="gramStart"/>
      <w:r w:rsidRPr="00FC4FBE">
        <w:rPr>
          <w:rFonts w:eastAsia="Times New Roman"/>
          <w:bdr w:val="none" w:sz="0" w:space="0" w:color="auto" w:frame="1"/>
          <w:lang w:val="en-US" w:eastAsia="en-CA"/>
        </w:rPr>
        <w:t>explicit</w:t>
      </w:r>
      <w:proofErr w:type="gramEnd"/>
      <w:r w:rsidRPr="00FC4FBE">
        <w:rPr>
          <w:rFonts w:eastAsia="Times New Roman"/>
          <w:bdr w:val="none" w:sz="0" w:space="0" w:color="auto" w:frame="1"/>
          <w:lang w:val="en-US" w:eastAsia="en-CA"/>
        </w:rPr>
        <w:t xml:space="preserve"> and systematic instruction.</w:t>
      </w:r>
    </w:p>
    <w:p w14:paraId="7D47693D" w14:textId="55B0B267" w:rsidR="00791563" w:rsidRDefault="00791563" w:rsidP="00791563">
      <w:pPr>
        <w:spacing w:after="0" w:line="240" w:lineRule="auto"/>
        <w:ind w:right="45"/>
        <w:textAlignment w:val="baseline"/>
        <w:rPr>
          <w:rFonts w:eastAsia="Times New Roman"/>
          <w:bdr w:val="none" w:sz="0" w:space="0" w:color="auto" w:frame="1"/>
          <w:lang w:val="en-US" w:eastAsia="en-CA"/>
        </w:rPr>
      </w:pPr>
      <w:r w:rsidRPr="00FC4FBE">
        <w:rPr>
          <w:rFonts w:eastAsia="Times New Roman"/>
          <w:bdr w:val="none" w:sz="0" w:space="0" w:color="auto" w:frame="1"/>
          <w:lang w:val="en-US" w:eastAsia="en-CA"/>
        </w:rPr>
        <w:t>In Spring 2022, as part of its response to the OHRC’s </w:t>
      </w:r>
      <w:r w:rsidRPr="00FC4FBE">
        <w:rPr>
          <w:rFonts w:eastAsia="Times New Roman"/>
          <w:i/>
          <w:iCs/>
          <w:bdr w:val="none" w:sz="0" w:space="0" w:color="auto" w:frame="1"/>
          <w:lang w:val="en-US" w:eastAsia="en-CA"/>
        </w:rPr>
        <w:t>Right to Read</w:t>
      </w:r>
      <w:r w:rsidRPr="00FC4FBE">
        <w:rPr>
          <w:rFonts w:eastAsia="Times New Roman"/>
          <w:bdr w:val="none" w:sz="0" w:space="0" w:color="auto" w:frame="1"/>
          <w:lang w:val="en-US" w:eastAsia="en-CA"/>
        </w:rPr>
        <w:t> report, the ministry released Effective Early Reading Instruction: A Teacher’s Guide, which can be accessed or downloaded as a PDF on the </w:t>
      </w:r>
      <w:hyperlink r:id="rId12" w:tgtFrame="_blank" w:history="1">
        <w:r w:rsidRPr="00FC4FBE">
          <w:rPr>
            <w:rFonts w:eastAsia="Times New Roman"/>
            <w:color w:val="0563C1"/>
            <w:u w:val="single"/>
            <w:bdr w:val="none" w:sz="0" w:space="0" w:color="auto" w:frame="1"/>
            <w:lang w:val="en-US" w:eastAsia="en-CA"/>
          </w:rPr>
          <w:t>Curriculum and Resources website</w:t>
        </w:r>
      </w:hyperlink>
      <w:r w:rsidRPr="00FC4FBE">
        <w:rPr>
          <w:rFonts w:eastAsia="Times New Roman"/>
          <w:bdr w:val="none" w:sz="0" w:space="0" w:color="auto" w:frame="1"/>
          <w:lang w:val="en-US" w:eastAsia="en-CA"/>
        </w:rPr>
        <w:t>. The guide provides support on evidence-based approaches to early reading instruction.</w:t>
      </w:r>
    </w:p>
    <w:p w14:paraId="76B8F055" w14:textId="56FECE0D" w:rsidR="00791563" w:rsidRDefault="00791563" w:rsidP="00791563">
      <w:pPr>
        <w:spacing w:after="0" w:line="240" w:lineRule="auto"/>
        <w:ind w:right="45"/>
        <w:textAlignment w:val="baseline"/>
        <w:rPr>
          <w:rFonts w:eastAsia="Times New Roman"/>
          <w:bdr w:val="none" w:sz="0" w:space="0" w:color="auto" w:frame="1"/>
          <w:lang w:val="en-US" w:eastAsia="en-CA"/>
        </w:rPr>
      </w:pPr>
      <w:r w:rsidRPr="00791563">
        <w:rPr>
          <w:rFonts w:eastAsia="Times New Roman"/>
          <w:bdr w:val="none" w:sz="0" w:space="0" w:color="auto" w:frame="1"/>
          <w:lang w:val="en-US" w:eastAsia="en-CA"/>
        </w:rPr>
        <w:t>The ministry also hosted a webinar for board leads to support the implementation of this guide.</w:t>
      </w:r>
    </w:p>
    <w:p w14:paraId="0833A197" w14:textId="77777777" w:rsidR="002C59F3" w:rsidRDefault="002C59F3" w:rsidP="00791563">
      <w:pPr>
        <w:spacing w:after="0" w:line="240" w:lineRule="auto"/>
        <w:ind w:right="45"/>
        <w:textAlignment w:val="baseline"/>
        <w:rPr>
          <w:rFonts w:eastAsia="Times New Roman"/>
          <w:bdr w:val="none" w:sz="0" w:space="0" w:color="auto" w:frame="1"/>
          <w:lang w:val="en-US" w:eastAsia="en-CA"/>
        </w:rPr>
      </w:pPr>
    </w:p>
    <w:p w14:paraId="780E4F12" w14:textId="1391AF4D" w:rsidR="002B4AA5" w:rsidRPr="00FC4FBE" w:rsidRDefault="002B4AA5" w:rsidP="00791563">
      <w:pPr>
        <w:spacing w:after="0" w:line="240" w:lineRule="auto"/>
        <w:ind w:right="45"/>
        <w:textAlignment w:val="baseline"/>
        <w:rPr>
          <w:rFonts w:ascii="Calibri" w:eastAsia="Times New Roman" w:hAnsi="Calibri" w:cs="Calibri"/>
          <w:lang w:eastAsia="en-CA"/>
        </w:rPr>
      </w:pPr>
      <w:r w:rsidRPr="002C59F3">
        <w:rPr>
          <w:rFonts w:eastAsia="Times New Roman"/>
          <w:u w:val="single"/>
          <w:bdr w:val="none" w:sz="0" w:space="0" w:color="auto" w:frame="1"/>
          <w:lang w:val="en-US" w:eastAsia="en-CA"/>
        </w:rPr>
        <w:t xml:space="preserve">SEAC members should ask what steps their board has taken to </w:t>
      </w:r>
      <w:r w:rsidR="002C59F3" w:rsidRPr="002C59F3">
        <w:rPr>
          <w:rFonts w:eastAsia="Times New Roman"/>
          <w:u w:val="single"/>
          <w:bdr w:val="none" w:sz="0" w:space="0" w:color="auto" w:frame="1"/>
          <w:lang w:val="en-US" w:eastAsia="en-CA"/>
        </w:rPr>
        <w:t xml:space="preserve">implement scientific, evidence-based reading instruction approaches that emphasize direct, </w:t>
      </w:r>
      <w:proofErr w:type="gramStart"/>
      <w:r w:rsidR="002C59F3" w:rsidRPr="002C59F3">
        <w:rPr>
          <w:rFonts w:eastAsia="Times New Roman"/>
          <w:u w:val="single"/>
          <w:bdr w:val="none" w:sz="0" w:space="0" w:color="auto" w:frame="1"/>
          <w:lang w:val="en-US" w:eastAsia="en-CA"/>
        </w:rPr>
        <w:t>explicit</w:t>
      </w:r>
      <w:proofErr w:type="gramEnd"/>
      <w:r w:rsidR="002C59F3" w:rsidRPr="002C59F3">
        <w:rPr>
          <w:rFonts w:eastAsia="Times New Roman"/>
          <w:u w:val="single"/>
          <w:bdr w:val="none" w:sz="0" w:space="0" w:color="auto" w:frame="1"/>
          <w:lang w:val="en-US" w:eastAsia="en-CA"/>
        </w:rPr>
        <w:t xml:space="preserve"> and systematic instruction</w:t>
      </w:r>
      <w:r w:rsidR="002C59F3" w:rsidRPr="002C59F3">
        <w:rPr>
          <w:rFonts w:eastAsia="Times New Roman"/>
          <w:bdr w:val="none" w:sz="0" w:space="0" w:color="auto" w:frame="1"/>
          <w:lang w:val="en-US" w:eastAsia="en-CA"/>
        </w:rPr>
        <w:t>.</w:t>
      </w:r>
    </w:p>
    <w:p w14:paraId="00ACE1BA" w14:textId="5F3D955B" w:rsidR="00106400" w:rsidRDefault="00106400" w:rsidP="00106400">
      <w:pPr>
        <w:spacing w:after="0" w:line="240" w:lineRule="auto"/>
        <w:ind w:right="45"/>
        <w:textAlignment w:val="baseline"/>
        <w:rPr>
          <w:rFonts w:ascii="Calibri" w:eastAsia="Times New Roman" w:hAnsi="Calibri" w:cs="Calibri"/>
          <w:lang w:eastAsia="en-CA"/>
        </w:rPr>
      </w:pPr>
    </w:p>
    <w:p w14:paraId="574574F8" w14:textId="77777777" w:rsidR="002C59F3" w:rsidRPr="00FC4FBE" w:rsidRDefault="002C59F3" w:rsidP="002C59F3">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De-Streaming</w:t>
      </w:r>
    </w:p>
    <w:p w14:paraId="04D5D2C1" w14:textId="77777777" w:rsidR="002C59F3" w:rsidRDefault="002C59F3" w:rsidP="002C59F3">
      <w:pPr>
        <w:spacing w:after="0" w:line="240" w:lineRule="auto"/>
        <w:ind w:right="45"/>
        <w:textAlignment w:val="baseline"/>
        <w:rPr>
          <w:rFonts w:eastAsia="Times New Roman"/>
          <w:bdr w:val="none" w:sz="0" w:space="0" w:color="auto" w:frame="1"/>
          <w:lang w:val="en-US" w:eastAsia="en-CA"/>
        </w:rPr>
      </w:pPr>
      <w:r w:rsidRPr="00FC4FBE">
        <w:rPr>
          <w:rFonts w:eastAsia="Times New Roman"/>
          <w:bdr w:val="none" w:sz="0" w:space="0" w:color="auto" w:frame="1"/>
          <w:lang w:val="en-US" w:eastAsia="en-CA"/>
        </w:rPr>
        <w:t xml:space="preserve">The ministry is providing funding to school boards to support de-streaming in the 2022-23 school year, including $3 million for the De-Streaming Implementation Supports Program and $8.32 million to support early interventions in math for students with special education needs to help prepare them for a de-streamed curriculum. Additionally, the ministry is providing $304 million in the GSN for temporary additional staffing supports to hire teachers, early childhood educators, educational </w:t>
      </w:r>
      <w:proofErr w:type="gramStart"/>
      <w:r w:rsidRPr="00FC4FBE">
        <w:rPr>
          <w:rFonts w:eastAsia="Times New Roman"/>
          <w:bdr w:val="none" w:sz="0" w:space="0" w:color="auto" w:frame="1"/>
          <w:lang w:val="en-US" w:eastAsia="en-CA"/>
        </w:rPr>
        <w:t>assistants</w:t>
      </w:r>
      <w:proofErr w:type="gramEnd"/>
      <w:r w:rsidRPr="00FC4FBE">
        <w:rPr>
          <w:rFonts w:eastAsia="Times New Roman"/>
          <w:bdr w:val="none" w:sz="0" w:space="0" w:color="auto" w:frame="1"/>
          <w:lang w:val="en-US" w:eastAsia="en-CA"/>
        </w:rPr>
        <w:t xml:space="preserve"> and other education workers, including to address the implementation of the first year of a fully de-streamed Grade 9.</w:t>
      </w:r>
      <w:r>
        <w:rPr>
          <w:rFonts w:eastAsia="Times New Roman"/>
          <w:bdr w:val="none" w:sz="0" w:space="0" w:color="auto" w:frame="1"/>
          <w:lang w:val="en-US" w:eastAsia="en-CA"/>
        </w:rPr>
        <w:t xml:space="preserve"> </w:t>
      </w:r>
    </w:p>
    <w:p w14:paraId="6212D531" w14:textId="77777777" w:rsidR="00C83B61" w:rsidRDefault="00C83B61" w:rsidP="002C59F3">
      <w:pPr>
        <w:spacing w:after="0" w:line="240" w:lineRule="auto"/>
        <w:ind w:right="45"/>
        <w:textAlignment w:val="baseline"/>
        <w:rPr>
          <w:rFonts w:eastAsia="Times New Roman"/>
          <w:u w:val="single"/>
          <w:bdr w:val="none" w:sz="0" w:space="0" w:color="auto" w:frame="1"/>
          <w:lang w:val="en-US" w:eastAsia="en-CA"/>
        </w:rPr>
      </w:pPr>
    </w:p>
    <w:p w14:paraId="1C6F55B5" w14:textId="52AC1DE8" w:rsidR="002C59F3" w:rsidRPr="002472B2" w:rsidRDefault="002C59F3" w:rsidP="002C59F3">
      <w:pPr>
        <w:spacing w:after="0" w:line="240" w:lineRule="auto"/>
        <w:ind w:right="45"/>
        <w:textAlignment w:val="baseline"/>
        <w:rPr>
          <w:rFonts w:ascii="Calibri" w:eastAsia="Times New Roman" w:hAnsi="Calibri" w:cs="Calibri"/>
          <w:u w:val="single"/>
          <w:lang w:eastAsia="en-CA"/>
        </w:rPr>
      </w:pPr>
      <w:r w:rsidRPr="002472B2">
        <w:rPr>
          <w:rFonts w:eastAsia="Times New Roman"/>
          <w:u w:val="single"/>
          <w:bdr w:val="none" w:sz="0" w:space="0" w:color="auto" w:frame="1"/>
          <w:lang w:val="en-US" w:eastAsia="en-CA"/>
        </w:rPr>
        <w:t xml:space="preserve">SEAC members should ask what supports are being provided to students with special educational needs for </w:t>
      </w:r>
      <w:r w:rsidR="002472B2" w:rsidRPr="002472B2">
        <w:rPr>
          <w:rFonts w:eastAsia="Times New Roman"/>
          <w:u w:val="single"/>
          <w:bdr w:val="none" w:sz="0" w:space="0" w:color="auto" w:frame="1"/>
          <w:lang w:val="en-US" w:eastAsia="en-CA"/>
        </w:rPr>
        <w:t>all de-streamed Grade 9 courses.</w:t>
      </w:r>
    </w:p>
    <w:p w14:paraId="64CC765C" w14:textId="44927A0F" w:rsidR="002C59F3" w:rsidRDefault="002C59F3" w:rsidP="00106400">
      <w:pPr>
        <w:spacing w:after="0" w:line="240" w:lineRule="auto"/>
        <w:ind w:right="45"/>
        <w:textAlignment w:val="baseline"/>
        <w:rPr>
          <w:rFonts w:ascii="Calibri" w:eastAsia="Times New Roman" w:hAnsi="Calibri" w:cs="Calibri"/>
          <w:lang w:eastAsia="en-CA"/>
        </w:rPr>
      </w:pPr>
    </w:p>
    <w:p w14:paraId="4EA8DCB6" w14:textId="67819B3E" w:rsidR="002472B2" w:rsidRPr="00FC4FBE" w:rsidRDefault="002472B2" w:rsidP="002472B2">
      <w:pPr>
        <w:spacing w:after="0" w:line="240" w:lineRule="auto"/>
        <w:ind w:right="45"/>
        <w:textAlignment w:val="baseline"/>
        <w:rPr>
          <w:rFonts w:ascii="Calibri" w:eastAsia="Times New Roman" w:hAnsi="Calibri" w:cs="Calibri"/>
          <w:lang w:eastAsia="en-CA"/>
        </w:rPr>
      </w:pPr>
      <w:r>
        <w:rPr>
          <w:rFonts w:eastAsia="Times New Roman"/>
          <w:b/>
          <w:bCs/>
          <w:bdr w:val="none" w:sz="0" w:space="0" w:color="auto" w:frame="1"/>
          <w:lang w:val="en-US" w:eastAsia="en-CA"/>
        </w:rPr>
        <w:t>Professional Activity Days</w:t>
      </w:r>
      <w:r w:rsidRPr="00FC4FBE">
        <w:rPr>
          <w:rFonts w:eastAsia="Times New Roman"/>
          <w:b/>
          <w:bCs/>
          <w:bdr w:val="none" w:sz="0" w:space="0" w:color="auto" w:frame="1"/>
          <w:lang w:val="en-US" w:eastAsia="en-CA"/>
        </w:rPr>
        <w:t> </w:t>
      </w:r>
    </w:p>
    <w:p w14:paraId="28C4A6BA" w14:textId="77777777" w:rsidR="00F43885" w:rsidRDefault="002472B2" w:rsidP="002472B2">
      <w:pPr>
        <w:spacing w:after="0" w:line="240" w:lineRule="auto"/>
        <w:ind w:right="45"/>
        <w:textAlignment w:val="baseline"/>
        <w:rPr>
          <w:color w:val="1A1A1A"/>
          <w:shd w:val="clear" w:color="auto" w:fill="FFFFFF"/>
        </w:rPr>
      </w:pPr>
      <w:r w:rsidRPr="00FC4FBE">
        <w:rPr>
          <w:rFonts w:eastAsia="Times New Roman"/>
          <w:bdr w:val="none" w:sz="0" w:space="0" w:color="auto" w:frame="1"/>
          <w:lang w:val="en-US" w:eastAsia="en-CA"/>
        </w:rPr>
        <w:t>In April 2022, the ministry issued a revised </w:t>
      </w:r>
      <w:hyperlink r:id="rId13" w:tgtFrame="_blank" w:history="1">
        <w:r w:rsidRPr="00FC4FBE">
          <w:rPr>
            <w:rFonts w:eastAsia="Times New Roman"/>
            <w:color w:val="0563C1"/>
            <w:u w:val="single"/>
            <w:bdr w:val="none" w:sz="0" w:space="0" w:color="auto" w:frame="1"/>
            <w:lang w:val="en-US" w:eastAsia="en-CA"/>
          </w:rPr>
          <w:t>Policy/Program Memorandum 151</w:t>
        </w:r>
      </w:hyperlink>
      <w:r w:rsidRPr="00FC4FBE">
        <w:rPr>
          <w:rFonts w:eastAsia="Times New Roman"/>
          <w:bdr w:val="none" w:sz="0" w:space="0" w:color="auto" w:frame="1"/>
          <w:lang w:val="en-US" w:eastAsia="en-CA"/>
        </w:rPr>
        <w:t> outlining key priority areas for school boards to focus on during mandatory Professional Activity Days</w:t>
      </w:r>
      <w:r w:rsidR="00D032E7">
        <w:rPr>
          <w:rFonts w:eastAsia="Times New Roman"/>
          <w:bdr w:val="none" w:sz="0" w:space="0" w:color="auto" w:frame="1"/>
          <w:lang w:val="en-US" w:eastAsia="en-CA"/>
        </w:rPr>
        <w:t xml:space="preserve">  in 2022-23. School boards are encouraged to </w:t>
      </w:r>
      <w:r w:rsidR="00D032E7" w:rsidRPr="00D032E7">
        <w:rPr>
          <w:color w:val="1A1A1A"/>
          <w:shd w:val="clear" w:color="auto" w:fill="FFFFFF"/>
        </w:rPr>
        <w:t>allot one day for each priority area.</w:t>
      </w:r>
      <w:r w:rsidR="00D032E7">
        <w:rPr>
          <w:color w:val="1A1A1A"/>
          <w:shd w:val="clear" w:color="auto" w:fill="FFFFFF"/>
        </w:rPr>
        <w:t xml:space="preserve"> </w:t>
      </w:r>
    </w:p>
    <w:p w14:paraId="3F281F4A" w14:textId="057183DE" w:rsidR="002472B2" w:rsidRDefault="00F43885" w:rsidP="002472B2">
      <w:pPr>
        <w:spacing w:after="0" w:line="240" w:lineRule="auto"/>
        <w:ind w:right="45"/>
        <w:textAlignment w:val="baseline"/>
        <w:rPr>
          <w:rFonts w:eastAsia="Times New Roman"/>
          <w:bdr w:val="none" w:sz="0" w:space="0" w:color="auto" w:frame="1"/>
          <w:lang w:val="en-US" w:eastAsia="en-CA"/>
        </w:rPr>
      </w:pPr>
      <w:r>
        <w:rPr>
          <w:color w:val="1A1A1A"/>
          <w:shd w:val="clear" w:color="auto" w:fill="FFFFFF"/>
        </w:rPr>
        <w:t>The priority areas as outlined in PPM 151 are:</w:t>
      </w:r>
    </w:p>
    <w:p w14:paraId="3F8F5645" w14:textId="77777777" w:rsidR="002472B2" w:rsidRPr="002472B2" w:rsidRDefault="002472B2" w:rsidP="002472B2">
      <w:pPr>
        <w:shd w:val="clear" w:color="auto" w:fill="FFFFFF"/>
        <w:spacing w:after="0" w:line="240" w:lineRule="auto"/>
        <w:outlineLvl w:val="2"/>
        <w:rPr>
          <w:rFonts w:eastAsia="Times New Roman"/>
          <w:b/>
          <w:bCs/>
          <w:color w:val="1A1A1A"/>
          <w:lang w:eastAsia="en-CA"/>
        </w:rPr>
      </w:pPr>
      <w:r w:rsidRPr="002472B2">
        <w:rPr>
          <w:rFonts w:eastAsia="Times New Roman"/>
          <w:b/>
          <w:bCs/>
          <w:color w:val="1A1A1A"/>
          <w:lang w:eastAsia="en-CA"/>
        </w:rPr>
        <w:t>Learning recovery</w:t>
      </w:r>
    </w:p>
    <w:p w14:paraId="78ED6829" w14:textId="77777777" w:rsidR="002472B2" w:rsidRPr="002472B2" w:rsidRDefault="002472B2" w:rsidP="002472B2">
      <w:pPr>
        <w:numPr>
          <w:ilvl w:val="0"/>
          <w:numId w:val="4"/>
        </w:numPr>
        <w:shd w:val="clear" w:color="auto" w:fill="FFFFFF"/>
        <w:spacing w:after="0" w:line="240" w:lineRule="auto"/>
        <w:rPr>
          <w:rFonts w:eastAsia="Times New Roman"/>
          <w:color w:val="1A1A1A"/>
          <w:lang w:eastAsia="en-CA"/>
        </w:rPr>
      </w:pPr>
      <w:r w:rsidRPr="002472B2">
        <w:rPr>
          <w:rFonts w:eastAsia="Times New Roman"/>
          <w:color w:val="1A1A1A"/>
          <w:lang w:eastAsia="en-CA"/>
        </w:rPr>
        <w:t>Learning recovery and renewal</w:t>
      </w:r>
    </w:p>
    <w:p w14:paraId="46C1D798" w14:textId="77777777" w:rsidR="002472B2" w:rsidRPr="002472B2" w:rsidRDefault="002472B2" w:rsidP="002472B2">
      <w:pPr>
        <w:numPr>
          <w:ilvl w:val="0"/>
          <w:numId w:val="4"/>
        </w:numPr>
        <w:shd w:val="clear" w:color="auto" w:fill="FFFFFF"/>
        <w:spacing w:after="0" w:line="240" w:lineRule="auto"/>
        <w:rPr>
          <w:rFonts w:eastAsia="Times New Roman"/>
          <w:color w:val="1A1A1A"/>
          <w:lang w:eastAsia="en-CA"/>
        </w:rPr>
      </w:pPr>
      <w:r w:rsidRPr="002472B2">
        <w:rPr>
          <w:rFonts w:eastAsia="Times New Roman"/>
          <w:color w:val="1A1A1A"/>
          <w:lang w:eastAsia="en-CA"/>
        </w:rPr>
        <w:t>Student mental health and well-being</w:t>
      </w:r>
    </w:p>
    <w:p w14:paraId="1578AEE0" w14:textId="77777777" w:rsidR="002472B2" w:rsidRPr="002472B2" w:rsidRDefault="002472B2" w:rsidP="002472B2">
      <w:pPr>
        <w:numPr>
          <w:ilvl w:val="0"/>
          <w:numId w:val="4"/>
        </w:numPr>
        <w:shd w:val="clear" w:color="auto" w:fill="FFFFFF"/>
        <w:spacing w:after="0" w:line="240" w:lineRule="auto"/>
        <w:rPr>
          <w:rFonts w:eastAsia="Times New Roman"/>
          <w:color w:val="1A1A1A"/>
          <w:lang w:eastAsia="en-CA"/>
        </w:rPr>
      </w:pPr>
      <w:r w:rsidRPr="002472B2">
        <w:rPr>
          <w:rFonts w:eastAsia="Times New Roman"/>
          <w:color w:val="1A1A1A"/>
          <w:lang w:eastAsia="en-CA"/>
        </w:rPr>
        <w:t>Early reading and mathematics</w:t>
      </w:r>
    </w:p>
    <w:p w14:paraId="51D973E2" w14:textId="77777777" w:rsidR="002472B2" w:rsidRPr="002472B2" w:rsidRDefault="002472B2" w:rsidP="002472B2">
      <w:pPr>
        <w:numPr>
          <w:ilvl w:val="0"/>
          <w:numId w:val="4"/>
        </w:numPr>
        <w:shd w:val="clear" w:color="auto" w:fill="FFFFFF"/>
        <w:spacing w:after="0" w:line="240" w:lineRule="auto"/>
        <w:rPr>
          <w:rFonts w:eastAsia="Times New Roman"/>
          <w:color w:val="1A1A1A"/>
          <w:lang w:eastAsia="en-CA"/>
        </w:rPr>
      </w:pPr>
      <w:r w:rsidRPr="002472B2">
        <w:rPr>
          <w:rFonts w:eastAsia="Times New Roman"/>
          <w:color w:val="1A1A1A"/>
          <w:lang w:eastAsia="en-CA"/>
        </w:rPr>
        <w:t>Supporting de-streamed classrooms</w:t>
      </w:r>
    </w:p>
    <w:p w14:paraId="1E3F7AE6" w14:textId="77777777" w:rsidR="002472B2" w:rsidRPr="002472B2" w:rsidRDefault="002472B2" w:rsidP="002472B2">
      <w:pPr>
        <w:shd w:val="clear" w:color="auto" w:fill="FFFFFF"/>
        <w:spacing w:after="0" w:line="240" w:lineRule="auto"/>
        <w:outlineLvl w:val="2"/>
        <w:rPr>
          <w:rFonts w:eastAsia="Times New Roman"/>
          <w:b/>
          <w:bCs/>
          <w:color w:val="1A1A1A"/>
          <w:lang w:eastAsia="en-CA"/>
        </w:rPr>
      </w:pPr>
      <w:r w:rsidRPr="002472B2">
        <w:rPr>
          <w:rFonts w:eastAsia="Times New Roman"/>
          <w:b/>
          <w:bCs/>
          <w:color w:val="1A1A1A"/>
          <w:lang w:eastAsia="en-CA"/>
        </w:rPr>
        <w:t>Student and school safety</w:t>
      </w:r>
    </w:p>
    <w:p w14:paraId="045A7C36" w14:textId="77777777" w:rsidR="002472B2" w:rsidRPr="002472B2" w:rsidRDefault="002472B2" w:rsidP="002472B2">
      <w:pPr>
        <w:numPr>
          <w:ilvl w:val="0"/>
          <w:numId w:val="5"/>
        </w:numPr>
        <w:shd w:val="clear" w:color="auto" w:fill="FFFFFF"/>
        <w:spacing w:after="0" w:line="240" w:lineRule="auto"/>
        <w:rPr>
          <w:rFonts w:eastAsia="Times New Roman"/>
          <w:color w:val="1A1A1A"/>
          <w:lang w:eastAsia="en-CA"/>
        </w:rPr>
      </w:pPr>
      <w:r w:rsidRPr="002472B2">
        <w:rPr>
          <w:rFonts w:eastAsia="Times New Roman"/>
          <w:color w:val="1A1A1A"/>
          <w:lang w:eastAsia="en-CA"/>
        </w:rPr>
        <w:t>Ontario College of Teachers’ (OCT) </w:t>
      </w:r>
      <w:hyperlink r:id="rId14" w:history="1">
        <w:r w:rsidRPr="002472B2">
          <w:rPr>
            <w:rFonts w:eastAsia="Times New Roman"/>
            <w:color w:val="0066CC"/>
            <w:u w:val="single"/>
            <w:lang w:eastAsia="en-CA"/>
          </w:rPr>
          <w:t>Sexual Abuse Prevention Program</w:t>
        </w:r>
      </w:hyperlink>
    </w:p>
    <w:p w14:paraId="1E5BCF01" w14:textId="77777777" w:rsidR="002472B2" w:rsidRPr="002472B2" w:rsidRDefault="002472B2" w:rsidP="002472B2">
      <w:pPr>
        <w:numPr>
          <w:ilvl w:val="0"/>
          <w:numId w:val="5"/>
        </w:numPr>
        <w:shd w:val="clear" w:color="auto" w:fill="FFFFFF"/>
        <w:spacing w:after="0" w:line="240" w:lineRule="auto"/>
        <w:rPr>
          <w:rFonts w:eastAsia="Times New Roman"/>
          <w:color w:val="1A1A1A"/>
          <w:lang w:eastAsia="en-CA"/>
        </w:rPr>
      </w:pPr>
      <w:r w:rsidRPr="002472B2">
        <w:rPr>
          <w:rFonts w:eastAsia="Times New Roman"/>
          <w:color w:val="1A1A1A"/>
          <w:lang w:eastAsia="en-CA"/>
        </w:rPr>
        <w:t>Anti-sex trafficking and cyber protection</w:t>
      </w:r>
    </w:p>
    <w:p w14:paraId="4321135C" w14:textId="77777777" w:rsidR="002472B2" w:rsidRPr="002472B2" w:rsidRDefault="002472B2" w:rsidP="002472B2">
      <w:pPr>
        <w:numPr>
          <w:ilvl w:val="0"/>
          <w:numId w:val="5"/>
        </w:numPr>
        <w:shd w:val="clear" w:color="auto" w:fill="FFFFFF"/>
        <w:spacing w:after="0" w:line="240" w:lineRule="auto"/>
        <w:rPr>
          <w:rFonts w:eastAsia="Times New Roman"/>
          <w:color w:val="1A1A1A"/>
          <w:lang w:eastAsia="en-CA"/>
        </w:rPr>
      </w:pPr>
      <w:r w:rsidRPr="002472B2">
        <w:rPr>
          <w:rFonts w:eastAsia="Times New Roman"/>
          <w:color w:val="1A1A1A"/>
          <w:lang w:eastAsia="en-CA"/>
        </w:rPr>
        <w:t>Supporting students with prevalent medical conditions in schools (</w:t>
      </w:r>
      <w:hyperlink r:id="rId15" w:history="1">
        <w:r w:rsidRPr="002472B2">
          <w:rPr>
            <w:rFonts w:eastAsia="Times New Roman"/>
            <w:color w:val="0066CC"/>
            <w:u w:val="single"/>
            <w:lang w:eastAsia="en-CA"/>
          </w:rPr>
          <w:t>PPM 161</w:t>
        </w:r>
      </w:hyperlink>
      <w:r w:rsidRPr="002472B2">
        <w:rPr>
          <w:rFonts w:eastAsia="Times New Roman"/>
          <w:color w:val="1A1A1A"/>
          <w:lang w:eastAsia="en-CA"/>
        </w:rPr>
        <w:t>)</w:t>
      </w:r>
    </w:p>
    <w:p w14:paraId="66F07A86" w14:textId="77777777" w:rsidR="002472B2" w:rsidRPr="002472B2" w:rsidRDefault="002472B2" w:rsidP="002472B2">
      <w:pPr>
        <w:shd w:val="clear" w:color="auto" w:fill="FFFFFF"/>
        <w:spacing w:after="0" w:line="240" w:lineRule="auto"/>
        <w:outlineLvl w:val="2"/>
        <w:rPr>
          <w:rFonts w:eastAsia="Times New Roman"/>
          <w:b/>
          <w:bCs/>
          <w:color w:val="1A1A1A"/>
          <w:lang w:eastAsia="en-CA"/>
        </w:rPr>
      </w:pPr>
      <w:r w:rsidRPr="002472B2">
        <w:rPr>
          <w:rFonts w:eastAsia="Times New Roman"/>
          <w:b/>
          <w:bCs/>
          <w:color w:val="1A1A1A"/>
          <w:lang w:eastAsia="en-CA"/>
        </w:rPr>
        <w:t>Science, technology, engineering and math (STEM)</w:t>
      </w:r>
    </w:p>
    <w:p w14:paraId="3299592C" w14:textId="77777777" w:rsidR="002472B2" w:rsidRPr="002472B2" w:rsidRDefault="002472B2" w:rsidP="002472B2">
      <w:pPr>
        <w:numPr>
          <w:ilvl w:val="0"/>
          <w:numId w:val="6"/>
        </w:numPr>
        <w:shd w:val="clear" w:color="auto" w:fill="FFFFFF"/>
        <w:spacing w:after="0" w:line="240" w:lineRule="auto"/>
        <w:rPr>
          <w:rFonts w:eastAsia="Times New Roman"/>
          <w:color w:val="1A1A1A"/>
          <w:lang w:eastAsia="en-CA"/>
        </w:rPr>
      </w:pPr>
      <w:r w:rsidRPr="002472B2">
        <w:rPr>
          <w:rFonts w:eastAsia="Times New Roman"/>
          <w:color w:val="1A1A1A"/>
          <w:lang w:eastAsia="en-CA"/>
        </w:rPr>
        <w:t>STEM education, including new STEM-related curricula (elementary science and technology, grade 9 de-streamed science and connections to skilled trades and apprenticeship)</w:t>
      </w:r>
    </w:p>
    <w:p w14:paraId="3FFEB571" w14:textId="77777777" w:rsidR="002472B2" w:rsidRPr="002472B2" w:rsidRDefault="002472B2" w:rsidP="002472B2">
      <w:pPr>
        <w:numPr>
          <w:ilvl w:val="0"/>
          <w:numId w:val="6"/>
        </w:numPr>
        <w:shd w:val="clear" w:color="auto" w:fill="FFFFFF"/>
        <w:spacing w:after="0" w:line="240" w:lineRule="auto"/>
        <w:rPr>
          <w:rFonts w:eastAsia="Times New Roman"/>
          <w:color w:val="1A1A1A"/>
          <w:lang w:eastAsia="en-CA"/>
        </w:rPr>
      </w:pPr>
      <w:r w:rsidRPr="002472B2">
        <w:rPr>
          <w:rFonts w:eastAsia="Times New Roman"/>
          <w:color w:val="1A1A1A"/>
          <w:lang w:eastAsia="en-CA"/>
        </w:rPr>
        <w:t>Connections to skilled trades and apprenticeship</w:t>
      </w:r>
    </w:p>
    <w:p w14:paraId="29837C54" w14:textId="77777777" w:rsidR="002472B2" w:rsidRPr="002472B2" w:rsidRDefault="002472B2" w:rsidP="002472B2">
      <w:pPr>
        <w:shd w:val="clear" w:color="auto" w:fill="FFFFFF"/>
        <w:spacing w:after="0" w:line="240" w:lineRule="auto"/>
        <w:outlineLvl w:val="2"/>
        <w:rPr>
          <w:rFonts w:eastAsia="Times New Roman"/>
          <w:b/>
          <w:bCs/>
          <w:color w:val="1A1A1A"/>
          <w:lang w:eastAsia="en-CA"/>
        </w:rPr>
      </w:pPr>
      <w:r w:rsidRPr="002472B2">
        <w:rPr>
          <w:rFonts w:eastAsia="Times New Roman"/>
          <w:b/>
          <w:bCs/>
          <w:color w:val="1A1A1A"/>
          <w:lang w:eastAsia="en-CA"/>
        </w:rPr>
        <w:t>Equity and inclusive education</w:t>
      </w:r>
    </w:p>
    <w:p w14:paraId="344578E9" w14:textId="77777777" w:rsidR="002472B2" w:rsidRPr="002472B2" w:rsidRDefault="002472B2" w:rsidP="002472B2">
      <w:pPr>
        <w:shd w:val="clear" w:color="auto" w:fill="FFFFFF"/>
        <w:spacing w:after="0" w:line="240" w:lineRule="auto"/>
        <w:rPr>
          <w:rFonts w:eastAsia="Times New Roman"/>
          <w:color w:val="1A1A1A"/>
          <w:lang w:eastAsia="en-CA"/>
        </w:rPr>
      </w:pPr>
      <w:r w:rsidRPr="002472B2">
        <w:rPr>
          <w:rFonts w:eastAsia="Times New Roman"/>
          <w:color w:val="1A1A1A"/>
          <w:lang w:eastAsia="en-CA"/>
        </w:rPr>
        <w:t>Equity and inclusive education should be applied in an integrated manner across all professional learning topics or as focused learning topics. At a minimum, these learning topics should include:</w:t>
      </w:r>
    </w:p>
    <w:p w14:paraId="683C46AD" w14:textId="77777777" w:rsidR="002472B2" w:rsidRPr="002472B2" w:rsidRDefault="002472B2" w:rsidP="002472B2">
      <w:pPr>
        <w:numPr>
          <w:ilvl w:val="0"/>
          <w:numId w:val="7"/>
        </w:numPr>
        <w:shd w:val="clear" w:color="auto" w:fill="FFFFFF"/>
        <w:spacing w:after="0" w:line="240" w:lineRule="auto"/>
        <w:rPr>
          <w:rFonts w:eastAsia="Times New Roman"/>
          <w:color w:val="1A1A1A"/>
          <w:lang w:eastAsia="en-CA"/>
        </w:rPr>
      </w:pPr>
      <w:bookmarkStart w:id="4" w:name="_Hlk114479847"/>
      <w:r w:rsidRPr="002472B2">
        <w:rPr>
          <w:rFonts w:eastAsia="Times New Roman"/>
          <w:color w:val="1A1A1A"/>
          <w:lang w:eastAsia="en-CA"/>
        </w:rPr>
        <w:t>special education and supporting students with disabilities</w:t>
      </w:r>
    </w:p>
    <w:bookmarkEnd w:id="4"/>
    <w:p w14:paraId="6B70585A" w14:textId="77777777" w:rsidR="002472B2" w:rsidRPr="002472B2" w:rsidRDefault="002472B2" w:rsidP="002472B2">
      <w:pPr>
        <w:numPr>
          <w:ilvl w:val="0"/>
          <w:numId w:val="7"/>
        </w:numPr>
        <w:shd w:val="clear" w:color="auto" w:fill="FFFFFF"/>
        <w:spacing w:after="0" w:line="240" w:lineRule="auto"/>
        <w:rPr>
          <w:rFonts w:eastAsia="Times New Roman"/>
          <w:color w:val="1A1A1A"/>
          <w:lang w:eastAsia="en-CA"/>
        </w:rPr>
      </w:pPr>
      <w:r w:rsidRPr="002472B2">
        <w:rPr>
          <w:rFonts w:eastAsia="Times New Roman"/>
          <w:color w:val="1A1A1A"/>
          <w:lang w:eastAsia="en-CA"/>
        </w:rPr>
        <w:lastRenderedPageBreak/>
        <w:t>anti-racism and anti-discrimination</w:t>
      </w:r>
    </w:p>
    <w:p w14:paraId="554AC179" w14:textId="77777777" w:rsidR="002472B2" w:rsidRPr="00FC4FBE" w:rsidRDefault="002472B2" w:rsidP="002472B2">
      <w:pPr>
        <w:spacing w:after="0" w:line="240" w:lineRule="auto"/>
        <w:ind w:right="45"/>
        <w:textAlignment w:val="baseline"/>
        <w:rPr>
          <w:rFonts w:ascii="Calibri" w:eastAsia="Times New Roman" w:hAnsi="Calibri" w:cs="Calibri"/>
          <w:lang w:eastAsia="en-CA"/>
        </w:rPr>
      </w:pPr>
    </w:p>
    <w:p w14:paraId="44F65966" w14:textId="742A7134" w:rsidR="00F143CC" w:rsidRPr="00F143CC" w:rsidRDefault="00D032E7" w:rsidP="00F143CC">
      <w:pPr>
        <w:spacing w:after="0" w:line="240" w:lineRule="auto"/>
        <w:ind w:right="45"/>
        <w:textAlignment w:val="baseline"/>
        <w:rPr>
          <w:color w:val="1A1A1A"/>
          <w:u w:val="single"/>
          <w:shd w:val="clear" w:color="auto" w:fill="FFFFFF"/>
        </w:rPr>
      </w:pPr>
      <w:r w:rsidRPr="00F143CC">
        <w:rPr>
          <w:color w:val="1A1A1A"/>
          <w:u w:val="single"/>
          <w:shd w:val="clear" w:color="auto" w:fill="FFFFFF"/>
        </w:rPr>
        <w:t xml:space="preserve">SEACs should ask what plans are being made for the </w:t>
      </w:r>
      <w:proofErr w:type="gramStart"/>
      <w:r w:rsidRPr="00F143CC">
        <w:rPr>
          <w:color w:val="1A1A1A"/>
          <w:u w:val="single"/>
          <w:shd w:val="clear" w:color="auto" w:fill="FFFFFF"/>
        </w:rPr>
        <w:t>PA day</w:t>
      </w:r>
      <w:proofErr w:type="gramEnd"/>
      <w:r w:rsidRPr="00F143CC">
        <w:rPr>
          <w:color w:val="1A1A1A"/>
          <w:u w:val="single"/>
          <w:shd w:val="clear" w:color="auto" w:fill="FFFFFF"/>
        </w:rPr>
        <w:t xml:space="preserve"> that deals with </w:t>
      </w:r>
      <w:r w:rsidR="00F143CC" w:rsidRPr="00F143CC">
        <w:rPr>
          <w:color w:val="1A1A1A"/>
          <w:u w:val="single"/>
          <w:shd w:val="clear" w:color="auto" w:fill="FFFFFF"/>
        </w:rPr>
        <w:t>special education and supporting students with disabilities.</w:t>
      </w:r>
    </w:p>
    <w:p w14:paraId="42617B19" w14:textId="7C680826" w:rsidR="002472B2" w:rsidRPr="00FC4FBE" w:rsidRDefault="002472B2" w:rsidP="00106400">
      <w:pPr>
        <w:spacing w:after="0" w:line="240" w:lineRule="auto"/>
        <w:ind w:right="45"/>
        <w:textAlignment w:val="baseline"/>
        <w:rPr>
          <w:rFonts w:ascii="Calibri" w:eastAsia="Times New Roman" w:hAnsi="Calibri" w:cs="Calibri"/>
          <w:lang w:eastAsia="en-CA"/>
        </w:rPr>
      </w:pPr>
    </w:p>
    <w:p w14:paraId="0631A592" w14:textId="0C7EE19B" w:rsidR="001A40DA" w:rsidRDefault="00F43885" w:rsidP="00106400">
      <w:pPr>
        <w:spacing w:after="0" w:line="240" w:lineRule="auto"/>
        <w:ind w:right="45"/>
        <w:textAlignment w:val="baseline"/>
        <w:rPr>
          <w:rFonts w:eastAsia="Times New Roman"/>
          <w:bdr w:val="none" w:sz="0" w:space="0" w:color="auto" w:frame="1"/>
          <w:lang w:eastAsia="en-CA"/>
        </w:rPr>
      </w:pPr>
      <w:r>
        <w:rPr>
          <w:rFonts w:eastAsia="Times New Roman"/>
          <w:bdr w:val="none" w:sz="0" w:space="0" w:color="auto" w:frame="1"/>
          <w:lang w:val="en-US" w:eastAsia="en-CA"/>
        </w:rPr>
        <w:t xml:space="preserve">The </w:t>
      </w:r>
      <w:r w:rsidRPr="00F43885">
        <w:rPr>
          <w:rFonts w:eastAsia="Times New Roman"/>
          <w:b/>
          <w:bCs/>
          <w:bdr w:val="none" w:sz="0" w:space="0" w:color="auto" w:frame="1"/>
          <w:lang w:val="en-US" w:eastAsia="en-CA"/>
        </w:rPr>
        <w:t xml:space="preserve">September 2, </w:t>
      </w:r>
      <w:proofErr w:type="gramStart"/>
      <w:r w:rsidR="00187F1D">
        <w:rPr>
          <w:rFonts w:eastAsia="Times New Roman"/>
          <w:b/>
          <w:bCs/>
          <w:bdr w:val="none" w:sz="0" w:space="0" w:color="auto" w:frame="1"/>
          <w:lang w:val="en-US" w:eastAsia="en-CA"/>
        </w:rPr>
        <w:t>2022</w:t>
      </w:r>
      <w:proofErr w:type="gramEnd"/>
      <w:r w:rsidR="00187F1D">
        <w:rPr>
          <w:rFonts w:eastAsia="Times New Roman"/>
          <w:b/>
          <w:bCs/>
          <w:bdr w:val="none" w:sz="0" w:space="0" w:color="auto" w:frame="1"/>
          <w:lang w:val="en-US" w:eastAsia="en-CA"/>
        </w:rPr>
        <w:t xml:space="preserve"> </w:t>
      </w:r>
      <w:r w:rsidRPr="00F43885">
        <w:rPr>
          <w:rFonts w:eastAsia="Times New Roman"/>
          <w:b/>
          <w:bCs/>
          <w:bdr w:val="none" w:sz="0" w:space="0" w:color="auto" w:frame="1"/>
          <w:lang w:val="en-US" w:eastAsia="en-CA"/>
        </w:rPr>
        <w:t>Memo on</w:t>
      </w:r>
      <w:r>
        <w:rPr>
          <w:rFonts w:eastAsia="Times New Roman"/>
          <w:bdr w:val="none" w:sz="0" w:space="0" w:color="auto" w:frame="1"/>
          <w:lang w:val="en-US" w:eastAsia="en-CA"/>
        </w:rPr>
        <w:t xml:space="preserve"> </w:t>
      </w:r>
      <w:r w:rsidRPr="00F43885">
        <w:rPr>
          <w:rFonts w:eastAsia="Times New Roman"/>
          <w:b/>
          <w:bCs/>
          <w:bdr w:val="none" w:sz="0" w:space="0" w:color="auto" w:frame="1"/>
          <w:lang w:eastAsia="en-CA"/>
        </w:rPr>
        <w:t>Online Learning Implementation Update</w:t>
      </w:r>
      <w:r>
        <w:rPr>
          <w:rFonts w:eastAsia="Times New Roman"/>
          <w:b/>
          <w:bCs/>
          <w:bdr w:val="none" w:sz="0" w:space="0" w:color="auto" w:frame="1"/>
          <w:lang w:eastAsia="en-CA"/>
        </w:rPr>
        <w:t xml:space="preserve"> </w:t>
      </w:r>
      <w:r>
        <w:rPr>
          <w:rFonts w:eastAsia="Times New Roman"/>
          <w:bdr w:val="none" w:sz="0" w:space="0" w:color="auto" w:frame="1"/>
          <w:lang w:eastAsia="en-CA"/>
        </w:rPr>
        <w:t>(attached) states</w:t>
      </w:r>
      <w:r w:rsidR="001A40DA">
        <w:rPr>
          <w:rFonts w:eastAsia="Times New Roman"/>
          <w:bdr w:val="none" w:sz="0" w:space="0" w:color="auto" w:frame="1"/>
          <w:lang w:eastAsia="en-CA"/>
        </w:rPr>
        <w:t>:</w:t>
      </w:r>
      <w:r>
        <w:rPr>
          <w:rFonts w:eastAsia="Times New Roman"/>
          <w:bdr w:val="none" w:sz="0" w:space="0" w:color="auto" w:frame="1"/>
          <w:lang w:eastAsia="en-CA"/>
        </w:rPr>
        <w:t xml:space="preserve"> </w:t>
      </w:r>
    </w:p>
    <w:p w14:paraId="48FB514C" w14:textId="5E733E80" w:rsidR="00106400" w:rsidRPr="00F43885" w:rsidRDefault="00F43885" w:rsidP="00106400">
      <w:pPr>
        <w:spacing w:after="0" w:line="240" w:lineRule="auto"/>
        <w:ind w:right="45"/>
        <w:textAlignment w:val="baseline"/>
        <w:rPr>
          <w:rFonts w:ascii="Calibri" w:eastAsia="Times New Roman" w:hAnsi="Calibri" w:cs="Calibri"/>
          <w:lang w:eastAsia="en-CA"/>
        </w:rPr>
      </w:pPr>
      <w:r w:rsidRPr="00F43885">
        <w:rPr>
          <w:rFonts w:eastAsia="Times New Roman"/>
          <w:bdr w:val="none" w:sz="0" w:space="0" w:color="auto" w:frame="1"/>
          <w:lang w:eastAsia="en-CA"/>
        </w:rPr>
        <w:t>As we enter the new school year, the ministry is sharing newly developed online learning courses developed by TVO and French-language partners, aligned with the Ontario curriculum, to support students with meeting the online learning graduation requirement as described in </w:t>
      </w:r>
      <w:hyperlink r:id="rId16" w:tgtFrame="_blank" w:history="1">
        <w:r w:rsidRPr="00F43885">
          <w:rPr>
            <w:rStyle w:val="Hyperlink"/>
            <w:rFonts w:eastAsia="Times New Roman"/>
            <w:bdr w:val="none" w:sz="0" w:space="0" w:color="auto" w:frame="1"/>
            <w:lang w:eastAsia="en-CA"/>
          </w:rPr>
          <w:t>Policy/Program Memorandum (PPM) 167</w:t>
        </w:r>
      </w:hyperlink>
      <w:r w:rsidRPr="00F43885">
        <w:rPr>
          <w:rFonts w:eastAsia="Times New Roman"/>
          <w:bdr w:val="none" w:sz="0" w:space="0" w:color="auto" w:frame="1"/>
          <w:lang w:eastAsia="en-CA"/>
        </w:rPr>
        <w:t>.</w:t>
      </w:r>
    </w:p>
    <w:p w14:paraId="41B112DF" w14:textId="77777777" w:rsidR="00F43885" w:rsidRDefault="00F43885" w:rsidP="00106400">
      <w:pPr>
        <w:rPr>
          <w:bCs/>
        </w:rPr>
      </w:pPr>
    </w:p>
    <w:p w14:paraId="0D3FC245" w14:textId="1E2A1BEA" w:rsidR="001A40DA" w:rsidRPr="001A40DA" w:rsidRDefault="0062562E" w:rsidP="001A40DA">
      <w:pPr>
        <w:spacing w:after="0" w:line="240" w:lineRule="auto"/>
        <w:rPr>
          <w:bCs/>
        </w:rPr>
      </w:pPr>
      <w:r>
        <w:rPr>
          <w:b/>
        </w:rPr>
        <w:t>A reminder</w:t>
      </w:r>
      <w:r w:rsidR="00F43885" w:rsidRPr="001A40DA">
        <w:rPr>
          <w:bCs/>
        </w:rPr>
        <w:t xml:space="preserve"> that PPM 167 outlines an Opt</w:t>
      </w:r>
      <w:r w:rsidR="001A40DA" w:rsidRPr="001A40DA">
        <w:rPr>
          <w:bCs/>
        </w:rPr>
        <w:t>-</w:t>
      </w:r>
      <w:r w:rsidR="00F43885" w:rsidRPr="001A40DA">
        <w:rPr>
          <w:bCs/>
        </w:rPr>
        <w:t>Out Process</w:t>
      </w:r>
      <w:r w:rsidR="001A40DA" w:rsidRPr="001A40DA">
        <w:rPr>
          <w:bCs/>
        </w:rPr>
        <w:t>:</w:t>
      </w:r>
      <w:r w:rsidR="001A40DA">
        <w:rPr>
          <w:bCs/>
        </w:rPr>
        <w:t xml:space="preserve"> </w:t>
      </w:r>
      <w:r w:rsidR="001A40DA">
        <w:rPr>
          <w:bCs/>
        </w:rPr>
        <w:br/>
      </w:r>
      <w:r w:rsidR="001A40DA" w:rsidRPr="001A40DA">
        <w:rPr>
          <w:bCs/>
        </w:rPr>
        <w:t>School boards must develop and implement a protocol or procedure that allows for students to be opted out of the online learning graduation requirement:</w:t>
      </w:r>
    </w:p>
    <w:p w14:paraId="620C86F0" w14:textId="77777777" w:rsidR="001A40DA" w:rsidRPr="001A40DA" w:rsidRDefault="001A40DA" w:rsidP="001A40DA">
      <w:pPr>
        <w:numPr>
          <w:ilvl w:val="0"/>
          <w:numId w:val="9"/>
        </w:numPr>
        <w:spacing w:after="0" w:line="240" w:lineRule="auto"/>
        <w:rPr>
          <w:bCs/>
        </w:rPr>
      </w:pPr>
      <w:r w:rsidRPr="001A40DA">
        <w:rPr>
          <w:bCs/>
        </w:rPr>
        <w:t>at the request of their parent(s)/guardian(s)</w:t>
      </w:r>
    </w:p>
    <w:p w14:paraId="15A19608" w14:textId="77777777" w:rsidR="001A40DA" w:rsidRPr="001A40DA" w:rsidRDefault="001A40DA" w:rsidP="001A40DA">
      <w:pPr>
        <w:numPr>
          <w:ilvl w:val="0"/>
          <w:numId w:val="9"/>
        </w:numPr>
        <w:spacing w:after="0" w:line="240" w:lineRule="auto"/>
        <w:rPr>
          <w:bCs/>
        </w:rPr>
      </w:pPr>
      <w:r w:rsidRPr="001A40DA">
        <w:rPr>
          <w:bCs/>
        </w:rPr>
        <w:t>at the student’s request, if they are 18 years of age or older (or if they are 16 or 17 years of age and have withdrawn from parental control)</w:t>
      </w:r>
    </w:p>
    <w:p w14:paraId="59D92079" w14:textId="30953A47" w:rsidR="001E2B6F" w:rsidRPr="001E2B6F" w:rsidRDefault="00097CD8" w:rsidP="0062562E">
      <w:pPr>
        <w:rPr>
          <w:b/>
          <w:bCs/>
        </w:rPr>
      </w:pPr>
      <w:r>
        <w:rPr>
          <w:bCs/>
          <w:u w:val="single"/>
        </w:rPr>
        <w:br/>
      </w:r>
      <w:r w:rsidR="001E2B6F" w:rsidRPr="001E2B6F">
        <w:rPr>
          <w:b/>
          <w:bCs/>
        </w:rPr>
        <w:t>SEAC recruitment for ne</w:t>
      </w:r>
      <w:r w:rsidR="001E2B6F">
        <w:rPr>
          <w:b/>
          <w:bCs/>
        </w:rPr>
        <w:t>w</w:t>
      </w:r>
      <w:r w:rsidR="001E2B6F" w:rsidRPr="001E2B6F">
        <w:rPr>
          <w:b/>
          <w:bCs/>
        </w:rPr>
        <w:t xml:space="preserve"> term</w:t>
      </w:r>
    </w:p>
    <w:p w14:paraId="115E7B18" w14:textId="507DA23E" w:rsidR="001E2B6F" w:rsidRPr="00187F1D" w:rsidRDefault="001E2B6F" w:rsidP="001E2B6F">
      <w:pPr>
        <w:rPr>
          <w:b/>
          <w:bCs/>
          <w:lang w:val="en-US"/>
        </w:rPr>
      </w:pPr>
      <w:r>
        <w:t xml:space="preserve">A reminder that with the municipal elections coming up SEACs will begin a new term. </w:t>
      </w:r>
      <w:r w:rsidR="00015802" w:rsidRPr="00015802">
        <w:t xml:space="preserve">Hopefully many SEAC members will return, but it </w:t>
      </w:r>
      <w:r w:rsidR="00015802">
        <w:t>may</w:t>
      </w:r>
      <w:r w:rsidR="00015802" w:rsidRPr="00015802">
        <w:t xml:space="preserve"> also</w:t>
      </w:r>
      <w:r w:rsidR="00015802">
        <w:t xml:space="preserve"> be necessary to recruit members and alternates.</w:t>
      </w:r>
      <w:r>
        <w:t xml:space="preserve"> To help with this process </w:t>
      </w:r>
      <w:r w:rsidR="00015802">
        <w:t xml:space="preserve">I have reattached the </w:t>
      </w:r>
      <w:r w:rsidRPr="00187F1D">
        <w:rPr>
          <w:b/>
          <w:bCs/>
        </w:rPr>
        <w:t xml:space="preserve">PAAC on SEAC </w:t>
      </w:r>
      <w:bookmarkStart w:id="5" w:name="_Hlk104973229"/>
      <w:r w:rsidR="00015802" w:rsidRPr="00187F1D">
        <w:rPr>
          <w:b/>
          <w:bCs/>
        </w:rPr>
        <w:t xml:space="preserve">Effective </w:t>
      </w:r>
      <w:r w:rsidRPr="00187F1D">
        <w:rPr>
          <w:b/>
          <w:bCs/>
          <w:lang w:val="en-US"/>
        </w:rPr>
        <w:t>Practices for Recruitment of Local Association Members for SEAC</w:t>
      </w:r>
      <w:r w:rsidRPr="00D36FC6">
        <w:rPr>
          <w:b/>
          <w:bCs/>
          <w:lang w:val="en-US"/>
        </w:rPr>
        <w:t xml:space="preserve"> </w:t>
      </w:r>
      <w:bookmarkEnd w:id="5"/>
      <w:r w:rsidR="00015802">
        <w:rPr>
          <w:lang w:val="en-US"/>
        </w:rPr>
        <w:t xml:space="preserve">tip sheet, also available </w:t>
      </w:r>
      <w:r w:rsidR="00187F1D">
        <w:rPr>
          <w:lang w:val="en-US"/>
        </w:rPr>
        <w:t xml:space="preserve">at </w:t>
      </w:r>
      <w:hyperlink r:id="rId17" w:history="1">
        <w:r w:rsidR="00187F1D" w:rsidRPr="00897943">
          <w:rPr>
            <w:rStyle w:val="Hyperlink"/>
          </w:rPr>
          <w:t>www.paac-seac.ca/resources/paac-on-seac-tip-sheet-effectiive-practices-for-recruitment-of-local-association-members-for-seac/</w:t>
        </w:r>
      </w:hyperlink>
      <w:r w:rsidR="00015802">
        <w:t xml:space="preserve"> </w:t>
      </w:r>
    </w:p>
    <w:p w14:paraId="671F68FB" w14:textId="77777777" w:rsidR="001558E0" w:rsidRDefault="001558E0" w:rsidP="001558E0"/>
    <w:bookmarkEnd w:id="1"/>
    <w:p w14:paraId="06A18F81" w14:textId="77777777" w:rsidR="00187F1D" w:rsidRDefault="00187F1D" w:rsidP="00187F1D">
      <w:pPr>
        <w:ind w:firstLine="720"/>
        <w:jc w:val="both"/>
      </w:pPr>
      <w:r w:rsidRPr="006D7CFE">
        <w:rPr>
          <w:rFonts w:eastAsia="Arial" w:cs="Times New Roman"/>
          <w:b/>
          <w:bCs/>
        </w:rPr>
        <w:t xml:space="preserve">Questions?  </w:t>
      </w:r>
      <w:r w:rsidRPr="006D7CFE">
        <w:rPr>
          <w:rFonts w:eastAsia="Arial" w:cs="Times New Roman"/>
          <w:bCs/>
        </w:rPr>
        <w:t xml:space="preserve">Email Diane Wagner at </w:t>
      </w:r>
      <w:hyperlink r:id="rId18" w:history="1">
        <w:r w:rsidRPr="006D7CFE">
          <w:rPr>
            <w:rFonts w:eastAsia="Arial" w:cs="Times New Roman"/>
            <w:bCs/>
            <w:color w:val="0000FF"/>
            <w:u w:val="single"/>
          </w:rPr>
          <w:t>dianew@LDAO.ca</w:t>
        </w:r>
      </w:hyperlink>
    </w:p>
    <w:p w14:paraId="0FD3ADAC" w14:textId="77777777" w:rsidR="001558E0" w:rsidRPr="005616E5" w:rsidRDefault="001558E0" w:rsidP="001558E0">
      <w:pPr>
        <w:spacing w:after="200" w:line="276" w:lineRule="auto"/>
        <w:rPr>
          <w:b/>
          <w:sz w:val="32"/>
          <w:szCs w:val="32"/>
        </w:rPr>
      </w:pPr>
    </w:p>
    <w:p w14:paraId="1AA4F49F" w14:textId="77777777" w:rsidR="001558E0" w:rsidRDefault="001558E0" w:rsidP="001558E0">
      <w:pPr>
        <w:jc w:val="center"/>
      </w:pPr>
    </w:p>
    <w:sectPr w:rsidR="001558E0">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6EA2" w14:textId="77777777" w:rsidR="00502266" w:rsidRDefault="00502266" w:rsidP="001558E0">
      <w:pPr>
        <w:spacing w:after="0" w:line="240" w:lineRule="auto"/>
      </w:pPr>
      <w:r>
        <w:separator/>
      </w:r>
    </w:p>
  </w:endnote>
  <w:endnote w:type="continuationSeparator" w:id="0">
    <w:p w14:paraId="5DDEC5D2" w14:textId="77777777" w:rsidR="00502266" w:rsidRDefault="00502266" w:rsidP="0015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14816"/>
      <w:docPartObj>
        <w:docPartGallery w:val="Page Numbers (Bottom of Page)"/>
        <w:docPartUnique/>
      </w:docPartObj>
    </w:sdtPr>
    <w:sdtEndPr>
      <w:rPr>
        <w:noProof/>
      </w:rPr>
    </w:sdtEndPr>
    <w:sdtContent>
      <w:p w14:paraId="55456699" w14:textId="4A7BE762" w:rsidR="00187F1D" w:rsidRDefault="00187F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9DEFF" w14:textId="77777777" w:rsidR="00187F1D" w:rsidRDefault="0018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08E8" w14:textId="77777777" w:rsidR="00502266" w:rsidRDefault="00502266" w:rsidP="001558E0">
      <w:pPr>
        <w:spacing w:after="0" w:line="240" w:lineRule="auto"/>
      </w:pPr>
      <w:r>
        <w:separator/>
      </w:r>
    </w:p>
  </w:footnote>
  <w:footnote w:type="continuationSeparator" w:id="0">
    <w:p w14:paraId="612ABE65" w14:textId="77777777" w:rsidR="00502266" w:rsidRDefault="00502266" w:rsidP="00155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5B3"/>
    <w:multiLevelType w:val="multilevel"/>
    <w:tmpl w:val="365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7E0A"/>
    <w:multiLevelType w:val="multilevel"/>
    <w:tmpl w:val="18D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026A6"/>
    <w:multiLevelType w:val="hybridMultilevel"/>
    <w:tmpl w:val="528890C0"/>
    <w:lvl w:ilvl="0" w:tplc="EFB6D7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6226735"/>
    <w:multiLevelType w:val="multilevel"/>
    <w:tmpl w:val="5C3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44B5C"/>
    <w:multiLevelType w:val="multilevel"/>
    <w:tmpl w:val="8932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13F96"/>
    <w:multiLevelType w:val="multilevel"/>
    <w:tmpl w:val="483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F5A9D"/>
    <w:multiLevelType w:val="multilevel"/>
    <w:tmpl w:val="1D04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F2669"/>
    <w:multiLevelType w:val="hybridMultilevel"/>
    <w:tmpl w:val="E536CB86"/>
    <w:lvl w:ilvl="0" w:tplc="025CF18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06B0F6C"/>
    <w:multiLevelType w:val="hybridMultilevel"/>
    <w:tmpl w:val="ABB83B54"/>
    <w:lvl w:ilvl="0" w:tplc="0F92D41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51096254">
    <w:abstractNumId w:val="2"/>
  </w:num>
  <w:num w:numId="2" w16cid:durableId="2074815447">
    <w:abstractNumId w:val="7"/>
  </w:num>
  <w:num w:numId="3" w16cid:durableId="2045207625">
    <w:abstractNumId w:val="8"/>
  </w:num>
  <w:num w:numId="4" w16cid:durableId="102191099">
    <w:abstractNumId w:val="4"/>
  </w:num>
  <w:num w:numId="5" w16cid:durableId="213084255">
    <w:abstractNumId w:val="0"/>
  </w:num>
  <w:num w:numId="6" w16cid:durableId="1670450765">
    <w:abstractNumId w:val="5"/>
  </w:num>
  <w:num w:numId="7" w16cid:durableId="1431122439">
    <w:abstractNumId w:val="3"/>
  </w:num>
  <w:num w:numId="8" w16cid:durableId="1598824475">
    <w:abstractNumId w:val="6"/>
  </w:num>
  <w:num w:numId="9" w16cid:durableId="123438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E0"/>
    <w:rsid w:val="00015802"/>
    <w:rsid w:val="00062B5F"/>
    <w:rsid w:val="00097CD8"/>
    <w:rsid w:val="00106400"/>
    <w:rsid w:val="001558E0"/>
    <w:rsid w:val="00187F1D"/>
    <w:rsid w:val="001A40DA"/>
    <w:rsid w:val="001E2B6F"/>
    <w:rsid w:val="002472B2"/>
    <w:rsid w:val="00266F6E"/>
    <w:rsid w:val="002B4AA5"/>
    <w:rsid w:val="002C59F3"/>
    <w:rsid w:val="00317F8B"/>
    <w:rsid w:val="00452EA1"/>
    <w:rsid w:val="004B0EC3"/>
    <w:rsid w:val="00502266"/>
    <w:rsid w:val="0062562E"/>
    <w:rsid w:val="00750EE2"/>
    <w:rsid w:val="00791563"/>
    <w:rsid w:val="007A3E04"/>
    <w:rsid w:val="00A00B76"/>
    <w:rsid w:val="00B16A43"/>
    <w:rsid w:val="00B53160"/>
    <w:rsid w:val="00C14E93"/>
    <w:rsid w:val="00C83B61"/>
    <w:rsid w:val="00CC1479"/>
    <w:rsid w:val="00D032E7"/>
    <w:rsid w:val="00DA318F"/>
    <w:rsid w:val="00F143CC"/>
    <w:rsid w:val="00F43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6472"/>
  <w15:chartTrackingRefBased/>
  <w15:docId w15:val="{E23610AE-FC2D-473F-A47F-E14D48BF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8E0"/>
  </w:style>
  <w:style w:type="paragraph" w:styleId="Footer">
    <w:name w:val="footer"/>
    <w:basedOn w:val="Normal"/>
    <w:link w:val="FooterChar"/>
    <w:uiPriority w:val="99"/>
    <w:unhideWhenUsed/>
    <w:rsid w:val="0015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8E0"/>
  </w:style>
  <w:style w:type="paragraph" w:styleId="ListParagraph">
    <w:name w:val="List Paragraph"/>
    <w:basedOn w:val="Normal"/>
    <w:uiPriority w:val="34"/>
    <w:qFormat/>
    <w:rsid w:val="00750EE2"/>
    <w:pPr>
      <w:ind w:left="720"/>
      <w:contextualSpacing/>
    </w:pPr>
  </w:style>
  <w:style w:type="character" w:styleId="Hyperlink">
    <w:name w:val="Hyperlink"/>
    <w:basedOn w:val="DefaultParagraphFont"/>
    <w:uiPriority w:val="99"/>
    <w:unhideWhenUsed/>
    <w:rsid w:val="00B53160"/>
    <w:rPr>
      <w:color w:val="0563C1" w:themeColor="hyperlink"/>
      <w:u w:val="single"/>
    </w:rPr>
  </w:style>
  <w:style w:type="character" w:styleId="UnresolvedMention">
    <w:name w:val="Unresolved Mention"/>
    <w:basedOn w:val="DefaultParagraphFont"/>
    <w:uiPriority w:val="99"/>
    <w:semiHidden/>
    <w:unhideWhenUsed/>
    <w:rsid w:val="00B53160"/>
    <w:rPr>
      <w:color w:val="605E5C"/>
      <w:shd w:val="clear" w:color="auto" w:fill="E1DFDD"/>
    </w:rPr>
  </w:style>
  <w:style w:type="character" w:styleId="FollowedHyperlink">
    <w:name w:val="FollowedHyperlink"/>
    <w:basedOn w:val="DefaultParagraphFont"/>
    <w:uiPriority w:val="99"/>
    <w:semiHidden/>
    <w:unhideWhenUsed/>
    <w:rsid w:val="00F43885"/>
    <w:rPr>
      <w:color w:val="954F72" w:themeColor="followedHyperlink"/>
      <w:u w:val="single"/>
    </w:rPr>
  </w:style>
  <w:style w:type="paragraph" w:styleId="NormalWeb">
    <w:name w:val="Normal (Web)"/>
    <w:basedOn w:val="Normal"/>
    <w:uiPriority w:val="99"/>
    <w:semiHidden/>
    <w:unhideWhenUsed/>
    <w:rsid w:val="001A40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9425">
      <w:bodyDiv w:val="1"/>
      <w:marLeft w:val="0"/>
      <w:marRight w:val="0"/>
      <w:marTop w:val="0"/>
      <w:marBottom w:val="0"/>
      <w:divBdr>
        <w:top w:val="none" w:sz="0" w:space="0" w:color="auto"/>
        <w:left w:val="none" w:sz="0" w:space="0" w:color="auto"/>
        <w:bottom w:val="none" w:sz="0" w:space="0" w:color="auto"/>
        <w:right w:val="none" w:sz="0" w:space="0" w:color="auto"/>
      </w:divBdr>
    </w:div>
    <w:div w:id="853107967">
      <w:bodyDiv w:val="1"/>
      <w:marLeft w:val="0"/>
      <w:marRight w:val="0"/>
      <w:marTop w:val="0"/>
      <w:marBottom w:val="0"/>
      <w:divBdr>
        <w:top w:val="none" w:sz="0" w:space="0" w:color="auto"/>
        <w:left w:val="none" w:sz="0" w:space="0" w:color="auto"/>
        <w:bottom w:val="none" w:sz="0" w:space="0" w:color="auto"/>
        <w:right w:val="none" w:sz="0" w:space="0" w:color="auto"/>
      </w:divBdr>
    </w:div>
    <w:div w:id="13836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s://www.ontario.ca/document/education-ontario-policy-and-program-direction/policyprogram-memorandum-151" TargetMode="External"/><Relationship Id="rId18" Type="http://schemas.openxmlformats.org/officeDocument/2006/relationships/hyperlink" Target="mailto:dianew@LDAO.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cp.edu.gov.on.ca/en/" TargetMode="External"/><Relationship Id="rId17" Type="http://schemas.openxmlformats.org/officeDocument/2006/relationships/hyperlink" Target="http://www.paac-seac.ca/resources/paac-on-seac-tip-sheet-effectiive-practices-for-recruitment-of-local-association-members-for-seac/" TargetMode="External"/><Relationship Id="rId2" Type="http://schemas.openxmlformats.org/officeDocument/2006/relationships/styles" Target="styles.xml"/><Relationship Id="rId16" Type="http://schemas.openxmlformats.org/officeDocument/2006/relationships/hyperlink" Target="https://www.ontario.ca/document/education-ontario-policy-and-program-direction/policyprogram-memorandum-16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is.fma.csc.gov.on.ca/faab/Memos/B2021/B07_EN.pdf" TargetMode="External"/><Relationship Id="rId5" Type="http://schemas.openxmlformats.org/officeDocument/2006/relationships/footnotes" Target="footnotes.xml"/><Relationship Id="rId15" Type="http://schemas.openxmlformats.org/officeDocument/2006/relationships/hyperlink" Target="https://www.ontario.ca/document/education-ontario-policy-and-program-direction/policyprogram-memorandum-161" TargetMode="External"/><Relationship Id="rId10" Type="http://schemas.openxmlformats.org/officeDocument/2006/relationships/hyperlink" Target="http://www.paac-seac.ca/home/paac-on-seac-effective-practices-handbook-for-seac-members/section-3-seac-roles-and-responsibilities/3-1-annual-plann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fis.fma.csc.gov.on.ca/faab/Memos.htm" TargetMode="External"/><Relationship Id="rId14" Type="http://schemas.openxmlformats.org/officeDocument/2006/relationships/hyperlink" Target="https://www.oct.ca/public/sexual-abuse-preven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4</cp:revision>
  <dcterms:created xsi:type="dcterms:W3CDTF">2022-09-15T15:54:00Z</dcterms:created>
  <dcterms:modified xsi:type="dcterms:W3CDTF">2022-09-19T19:02:00Z</dcterms:modified>
</cp:coreProperties>
</file>