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2381" w14:textId="292DF9DD" w:rsidR="008A0524" w:rsidRDefault="00FA049D"/>
    <w:p w14:paraId="63D75239" w14:textId="1FB37238" w:rsidR="00F63A2D" w:rsidRDefault="00F63A2D" w:rsidP="00F63A2D">
      <w:pPr>
        <w:jc w:val="center"/>
      </w:pPr>
      <w:r w:rsidRPr="00447483">
        <w:rPr>
          <w:rFonts w:eastAsia="Arial" w:cs="Times New Roman"/>
          <w:noProof/>
          <w:lang w:eastAsia="en-CA"/>
        </w:rPr>
        <w:drawing>
          <wp:inline distT="0" distB="0" distL="0" distR="0" wp14:anchorId="414689BD" wp14:editId="4A1EEE94">
            <wp:extent cx="3345180" cy="822960"/>
            <wp:effectExtent l="0" t="0" r="762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14:paraId="7EF2A15D" w14:textId="77777777" w:rsidR="00F63A2D" w:rsidRPr="00447483" w:rsidRDefault="00F63A2D" w:rsidP="00F63A2D">
      <w:pPr>
        <w:spacing w:after="200" w:line="276" w:lineRule="auto"/>
        <w:jc w:val="center"/>
        <w:rPr>
          <w:rFonts w:eastAsia="Arial" w:cs="Times New Roman"/>
          <w:b/>
          <w:sz w:val="40"/>
          <w:szCs w:val="40"/>
        </w:rPr>
      </w:pPr>
      <w:r w:rsidRPr="00447483">
        <w:rPr>
          <w:rFonts w:eastAsia="Arial" w:cs="Times New Roman"/>
          <w:b/>
          <w:sz w:val="40"/>
          <w:szCs w:val="40"/>
        </w:rPr>
        <w:t>LDAO SEAC CIRCULAR</w:t>
      </w:r>
    </w:p>
    <w:p w14:paraId="388E405B" w14:textId="50283235" w:rsidR="00F63A2D" w:rsidRPr="00F63A2D" w:rsidRDefault="009A1CC2" w:rsidP="00F63A2D">
      <w:pPr>
        <w:spacing w:after="200" w:line="276" w:lineRule="auto"/>
        <w:jc w:val="center"/>
        <w:rPr>
          <w:rFonts w:eastAsia="Arial" w:cs="Times New Roman"/>
          <w:b/>
          <w:sz w:val="36"/>
          <w:szCs w:val="36"/>
        </w:rPr>
      </w:pPr>
      <w:r>
        <w:rPr>
          <w:rFonts w:eastAsia="Arial" w:cs="Times New Roman"/>
          <w:b/>
          <w:sz w:val="36"/>
          <w:szCs w:val="36"/>
        </w:rPr>
        <w:t xml:space="preserve">June </w:t>
      </w:r>
      <w:r w:rsidR="00F63A2D">
        <w:rPr>
          <w:rFonts w:eastAsia="Arial" w:cs="Times New Roman"/>
          <w:b/>
          <w:sz w:val="36"/>
          <w:szCs w:val="36"/>
        </w:rPr>
        <w:t>2022</w:t>
      </w:r>
    </w:p>
    <w:p w14:paraId="363DDEA1" w14:textId="5EE6F49B" w:rsidR="00F63A2D" w:rsidRPr="00F63A2D" w:rsidRDefault="00F63A2D" w:rsidP="00F63A2D">
      <w:r>
        <w:br/>
      </w:r>
      <w:r w:rsidRPr="00F63A2D">
        <w:t>The Learning Disabilities Association of Ontario (LDAO) SEAC Circular is published 5 times a year, usually in September, November, February, April and June.</w:t>
      </w:r>
    </w:p>
    <w:p w14:paraId="7E929BC1" w14:textId="77777777" w:rsidR="00F63A2D" w:rsidRPr="00F63A2D" w:rsidRDefault="00F63A2D" w:rsidP="00F63A2D">
      <w:r w:rsidRPr="00F63A2D">
        <w:t xml:space="preserve">The following are some topics that your SEAC should be looking at. Action items and/or recommendations for effective practices will be </w:t>
      </w:r>
      <w:r w:rsidRPr="00F63A2D">
        <w:rPr>
          <w:u w:val="single"/>
        </w:rPr>
        <w:t>underlined</w:t>
      </w:r>
      <w:r w:rsidRPr="00F63A2D">
        <w:t>.</w:t>
      </w:r>
    </w:p>
    <w:p w14:paraId="596E3013" w14:textId="77777777" w:rsidR="00F63A2D" w:rsidRPr="00F63A2D" w:rsidRDefault="00F63A2D" w:rsidP="00F63A2D">
      <w:r w:rsidRPr="00F63A2D">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73373792" w14:textId="77777777" w:rsidR="00F63A2D" w:rsidRPr="00F63A2D" w:rsidRDefault="00F63A2D" w:rsidP="00F63A2D">
      <w:pPr>
        <w:rPr>
          <w:b/>
        </w:rPr>
      </w:pPr>
      <w:r w:rsidRPr="00F63A2D">
        <w:rPr>
          <w:b/>
        </w:rPr>
        <w:br/>
        <w:t>Topics covered by this SEAC Circular:</w:t>
      </w:r>
    </w:p>
    <w:p w14:paraId="0C0D38ED" w14:textId="3CDB2789" w:rsidR="00F63A2D" w:rsidRDefault="00F63A2D" w:rsidP="00F63A2D">
      <w:r>
        <w:t>1. June SEAC activities</w:t>
      </w:r>
    </w:p>
    <w:p w14:paraId="3E8878C1" w14:textId="65F8C14E" w:rsidR="00F63A2D" w:rsidRDefault="00F63A2D" w:rsidP="00F63A2D">
      <w:bookmarkStart w:id="0" w:name="_Hlk104971091"/>
      <w:r>
        <w:t xml:space="preserve">2. PAAC on SEAC </w:t>
      </w:r>
      <w:r w:rsidR="002A65DA" w:rsidRPr="002A65DA">
        <w:t>Funding Resource Guide</w:t>
      </w:r>
    </w:p>
    <w:p w14:paraId="7268AF1E" w14:textId="45E44C69" w:rsidR="00F63A2D" w:rsidRDefault="00F63A2D" w:rsidP="00F63A2D">
      <w:bookmarkStart w:id="1" w:name="_Hlk104972079"/>
      <w:bookmarkEnd w:id="0"/>
      <w:r>
        <w:t>3. SEAC recruitment for next term</w:t>
      </w:r>
    </w:p>
    <w:p w14:paraId="62543AE6" w14:textId="67C1791C" w:rsidR="0096097B" w:rsidRDefault="0096097B" w:rsidP="00F63A2D">
      <w:pPr>
        <w:rPr>
          <w:b/>
        </w:rPr>
      </w:pPr>
      <w:r>
        <w:br/>
      </w:r>
      <w:r w:rsidRPr="0096097B">
        <w:rPr>
          <w:b/>
        </w:rPr>
        <w:t>List of Supplementary Materials:</w:t>
      </w:r>
    </w:p>
    <w:p w14:paraId="04500A4E" w14:textId="44F041CD" w:rsidR="00BF4C97" w:rsidRDefault="00BF4C97" w:rsidP="00F63A2D">
      <w:pPr>
        <w:rPr>
          <w:b/>
        </w:rPr>
      </w:pPr>
      <w:r>
        <w:rPr>
          <w:bCs/>
          <w:lang w:val="en-US"/>
        </w:rPr>
        <w:t>1</w:t>
      </w:r>
      <w:r>
        <w:rPr>
          <w:bCs/>
          <w:lang w:val="en-US"/>
        </w:rPr>
        <w:t xml:space="preserve">. </w:t>
      </w:r>
      <w:r w:rsidRPr="00722913">
        <w:t xml:space="preserve">PAAC on SEAC </w:t>
      </w:r>
      <w:bookmarkStart w:id="2" w:name="_Hlk104973312"/>
      <w:r w:rsidRPr="00722913">
        <w:t xml:space="preserve">Funding Resource Guide </w:t>
      </w:r>
      <w:bookmarkEnd w:id="2"/>
      <w:r w:rsidRPr="00722913">
        <w:t>2022</w:t>
      </w:r>
    </w:p>
    <w:p w14:paraId="18B074AA" w14:textId="051A90FD" w:rsidR="00722913" w:rsidRPr="00BF4C97" w:rsidRDefault="00BF4C97" w:rsidP="00EB0E95">
      <w:pPr>
        <w:rPr>
          <w:bCs/>
          <w:lang w:val="en-US"/>
        </w:rPr>
      </w:pPr>
      <w:r>
        <w:rPr>
          <w:bCs/>
        </w:rPr>
        <w:t>2</w:t>
      </w:r>
      <w:r w:rsidR="00EB0E95" w:rsidRPr="00EB0E95">
        <w:rPr>
          <w:bCs/>
        </w:rPr>
        <w:t xml:space="preserve">. </w:t>
      </w:r>
      <w:r w:rsidR="00722913">
        <w:rPr>
          <w:bCs/>
        </w:rPr>
        <w:t xml:space="preserve">PAAC on SEAC Tip Sheet – </w:t>
      </w:r>
      <w:r w:rsidR="00722913" w:rsidRPr="00722913">
        <w:rPr>
          <w:bCs/>
          <w:lang w:val="en-US"/>
        </w:rPr>
        <w:t>Effective Practices for Recruitment of Local Association Members for SEAC</w:t>
      </w:r>
      <w:r>
        <w:rPr>
          <w:bCs/>
          <w:lang w:val="en-US"/>
        </w:rPr>
        <w:br/>
      </w:r>
    </w:p>
    <w:p w14:paraId="1E0DC630" w14:textId="77777777" w:rsidR="0096097B" w:rsidRPr="0096097B" w:rsidRDefault="0096097B" w:rsidP="0096097B">
      <w:pPr>
        <w:rPr>
          <w:b/>
        </w:rPr>
      </w:pPr>
      <w:r w:rsidRPr="0096097B">
        <w:rPr>
          <w:b/>
        </w:rPr>
        <w:t xml:space="preserve">Note: </w:t>
      </w:r>
      <w:r w:rsidRPr="0096097B">
        <w:t>You can access the SEAC Circular and supplementary materials at</w:t>
      </w:r>
      <w:r w:rsidRPr="0096097B">
        <w:br/>
      </w:r>
      <w:hyperlink r:id="rId8" w:history="1">
        <w:r w:rsidRPr="0096097B">
          <w:rPr>
            <w:rStyle w:val="Hyperlink"/>
          </w:rPr>
          <w:t>www.ldao.ca/about/public-policy-advocacy/seac-circulars/</w:t>
        </w:r>
      </w:hyperlink>
      <w:r w:rsidRPr="0096097B">
        <w:t>.</w:t>
      </w:r>
      <w:r w:rsidRPr="0096097B">
        <w:rPr>
          <w:b/>
        </w:rPr>
        <w:t xml:space="preserve"> </w:t>
      </w:r>
    </w:p>
    <w:p w14:paraId="2FA2FC84" w14:textId="4F406ABD" w:rsidR="00515B50" w:rsidRPr="0096097B" w:rsidRDefault="0096097B" w:rsidP="00F63A2D">
      <w:pPr>
        <w:rPr>
          <w:u w:val="single"/>
        </w:rPr>
      </w:pPr>
      <w:r w:rsidRPr="0096097B">
        <w:rPr>
          <w:lang w:val="en-US"/>
        </w:rPr>
        <w:t xml:space="preserve">You can access Ministry funding (B &amp; SB) memos by date at: </w:t>
      </w:r>
      <w:hyperlink r:id="rId9" w:tgtFrame="_blank" w:history="1">
        <w:r w:rsidRPr="0096097B">
          <w:rPr>
            <w:rStyle w:val="Hyperlink"/>
          </w:rPr>
          <w:t>https://efis.fma.csc.gov.on.ca/faab/Memos.htm</w:t>
        </w:r>
      </w:hyperlink>
      <w:bookmarkEnd w:id="1"/>
      <w:r>
        <w:rPr>
          <w:u w:val="single"/>
        </w:rPr>
        <w:br/>
      </w:r>
    </w:p>
    <w:p w14:paraId="478D82F9" w14:textId="77777777" w:rsidR="00515B50" w:rsidRPr="00515B50" w:rsidRDefault="00515B50" w:rsidP="00515B50">
      <w:pPr>
        <w:rPr>
          <w:b/>
          <w:bCs/>
        </w:rPr>
      </w:pPr>
      <w:r w:rsidRPr="00515B50">
        <w:rPr>
          <w:b/>
          <w:bCs/>
        </w:rPr>
        <w:t>1. June SEAC activities</w:t>
      </w:r>
    </w:p>
    <w:p w14:paraId="7D8D26A5" w14:textId="10E9DFE2" w:rsidR="00515B50" w:rsidRDefault="00515B50" w:rsidP="00F63A2D">
      <w:r>
        <w:t>The PAAC on SEAC Annual Calendar lists the following activities for SEACs in June:</w:t>
      </w:r>
    </w:p>
    <w:p w14:paraId="773EAC8D" w14:textId="3BCC539D" w:rsidR="00515B50" w:rsidRPr="00515B50" w:rsidRDefault="00515B50" w:rsidP="00515B50">
      <w:pPr>
        <w:pStyle w:val="ListParagraph"/>
        <w:numPr>
          <w:ilvl w:val="0"/>
          <w:numId w:val="2"/>
        </w:numPr>
      </w:pPr>
      <w:r w:rsidRPr="00515B50">
        <w:rPr>
          <w:rFonts w:eastAsia="Arial"/>
          <w:color w:val="000000"/>
          <w:spacing w:val="-2"/>
        </w:rPr>
        <w:t>Make recommendations to Trustees on the 2022-23 Special Education Plan and budget</w:t>
      </w:r>
    </w:p>
    <w:p w14:paraId="28B08B19" w14:textId="76B0FCF2" w:rsidR="00515B50" w:rsidRPr="00515B50" w:rsidRDefault="00515B50" w:rsidP="00515B50">
      <w:pPr>
        <w:pStyle w:val="ListParagraph"/>
        <w:numPr>
          <w:ilvl w:val="0"/>
          <w:numId w:val="2"/>
        </w:numPr>
      </w:pPr>
      <w:r>
        <w:rPr>
          <w:rFonts w:eastAsia="Arial"/>
          <w:color w:val="000000"/>
          <w:spacing w:val="-2"/>
        </w:rPr>
        <w:lastRenderedPageBreak/>
        <w:t>Develop a plan for SEAC activities in 2022-23</w:t>
      </w:r>
    </w:p>
    <w:p w14:paraId="7EE4C3C0" w14:textId="09E8133B" w:rsidR="00515B50" w:rsidRPr="00515B50" w:rsidRDefault="00515B50" w:rsidP="00515B50">
      <w:pPr>
        <w:pStyle w:val="ListParagraph"/>
        <w:numPr>
          <w:ilvl w:val="0"/>
          <w:numId w:val="2"/>
        </w:numPr>
      </w:pPr>
      <w:r>
        <w:rPr>
          <w:rFonts w:eastAsia="Arial"/>
          <w:color w:val="000000"/>
          <w:spacing w:val="-2"/>
        </w:rPr>
        <w:t>Develop draft SEAC annual agenda and goals</w:t>
      </w:r>
    </w:p>
    <w:p w14:paraId="5930E20A" w14:textId="77777777" w:rsidR="00515B50" w:rsidRPr="00515B50" w:rsidRDefault="00515B50" w:rsidP="00515B50">
      <w:pPr>
        <w:pStyle w:val="ListParagraph"/>
        <w:numPr>
          <w:ilvl w:val="0"/>
          <w:numId w:val="2"/>
        </w:numPr>
      </w:pPr>
      <w:r w:rsidRPr="00515B50">
        <w:t>Request Special Education data (including IEP and IPRC) for September meeting</w:t>
      </w:r>
    </w:p>
    <w:p w14:paraId="273684F1" w14:textId="4267B53D" w:rsidR="00515B50" w:rsidRDefault="00515B50" w:rsidP="00515B50">
      <w:pPr>
        <w:pStyle w:val="ListParagraph"/>
        <w:ind w:left="360"/>
      </w:pPr>
    </w:p>
    <w:p w14:paraId="1FA0AF44" w14:textId="1D51F911" w:rsidR="00515B50" w:rsidRDefault="00515B50" w:rsidP="00515B50">
      <w:pPr>
        <w:pStyle w:val="ListParagraph"/>
        <w:ind w:left="0"/>
      </w:pPr>
      <w:r>
        <w:t xml:space="preserve">For </w:t>
      </w:r>
      <w:r w:rsidR="009A1CC2">
        <w:t xml:space="preserve">effective practices in reviewing the Special Education Plan: </w:t>
      </w:r>
      <w:r w:rsidR="009A1CC2">
        <w:br/>
      </w:r>
      <w:hyperlink r:id="rId10" w:history="1">
        <w:r w:rsidR="009A1CC2" w:rsidRPr="00CB2DA7">
          <w:rPr>
            <w:rStyle w:val="Hyperlink"/>
          </w:rPr>
          <w:t>www.paac-seac.ca/home/paac-on-seac-effective-practices-handbook-for-seac-members/section-3-seac-roles-and-responsibilities/3-4-special-education-plan/</w:t>
        </w:r>
      </w:hyperlink>
      <w:r w:rsidR="009A1CC2">
        <w:t xml:space="preserve"> </w:t>
      </w:r>
    </w:p>
    <w:p w14:paraId="6CCCB94B" w14:textId="04ED7453" w:rsidR="009A1CC2" w:rsidRDefault="009A1CC2" w:rsidP="00515B50">
      <w:pPr>
        <w:pStyle w:val="ListParagraph"/>
        <w:ind w:left="0"/>
      </w:pPr>
    </w:p>
    <w:p w14:paraId="24945438" w14:textId="2396858E" w:rsidR="009A1CC2" w:rsidRDefault="009A1CC2" w:rsidP="00515B50">
      <w:pPr>
        <w:pStyle w:val="ListParagraph"/>
        <w:ind w:left="0"/>
      </w:pPr>
      <w:r>
        <w:t>For effective practices for planning SEAC goals and activities:</w:t>
      </w:r>
    </w:p>
    <w:p w14:paraId="3A4C5DE6" w14:textId="768C59F0" w:rsidR="009A1CC2" w:rsidRDefault="00FA049D" w:rsidP="00515B50">
      <w:pPr>
        <w:pStyle w:val="ListParagraph"/>
        <w:ind w:left="0"/>
      </w:pPr>
      <w:hyperlink r:id="rId11" w:history="1">
        <w:r w:rsidR="009A1CC2" w:rsidRPr="00CB2DA7">
          <w:rPr>
            <w:rStyle w:val="Hyperlink"/>
          </w:rPr>
          <w:t>www.paac-seac.ca/home/paac-on-seac-effective-practices-handbook-for-seac-members/section-3-seac-roles-and-responsibilities/3-2-annual-seac-goals/</w:t>
        </w:r>
      </w:hyperlink>
      <w:r w:rsidR="009A1CC2">
        <w:t xml:space="preserve"> </w:t>
      </w:r>
    </w:p>
    <w:p w14:paraId="01634174" w14:textId="57D2BCF5" w:rsidR="009A1CC2" w:rsidRDefault="009A1CC2" w:rsidP="00515B50">
      <w:pPr>
        <w:pStyle w:val="ListParagraph"/>
        <w:ind w:left="0"/>
      </w:pPr>
    </w:p>
    <w:p w14:paraId="019A9377" w14:textId="63D6B96A" w:rsidR="009A1CC2" w:rsidRPr="00D36FC6" w:rsidRDefault="009A1CC2" w:rsidP="009A1CC2">
      <w:pPr>
        <w:rPr>
          <w:b/>
          <w:bCs/>
        </w:rPr>
      </w:pPr>
      <w:r w:rsidRPr="00D36FC6">
        <w:rPr>
          <w:b/>
          <w:bCs/>
        </w:rPr>
        <w:t xml:space="preserve">2. </w:t>
      </w:r>
      <w:bookmarkStart w:id="3" w:name="_Hlk104973276"/>
      <w:r w:rsidRPr="00D36FC6">
        <w:rPr>
          <w:b/>
          <w:bCs/>
        </w:rPr>
        <w:t xml:space="preserve">PAAC on SEAC </w:t>
      </w:r>
      <w:r w:rsidR="00D36FC6" w:rsidRPr="00D36FC6">
        <w:rPr>
          <w:b/>
          <w:bCs/>
        </w:rPr>
        <w:t>Funding Resource Guide</w:t>
      </w:r>
      <w:bookmarkEnd w:id="3"/>
    </w:p>
    <w:p w14:paraId="4AA7D739" w14:textId="3A1D5928" w:rsidR="009A1CC2" w:rsidRDefault="009A1CC2" w:rsidP="00515B50">
      <w:pPr>
        <w:pStyle w:val="ListParagraph"/>
        <w:ind w:left="0"/>
      </w:pPr>
      <w:r>
        <w:t xml:space="preserve">To help SEACs understand the </w:t>
      </w:r>
      <w:r w:rsidR="004F5E32">
        <w:t xml:space="preserve">Special Education Budget process PAAC on SEAC has updated its comprehensive Funding Resource Guide (attached). </w:t>
      </w:r>
      <w:r w:rsidR="00520871">
        <w:t>O</w:t>
      </w:r>
      <w:r w:rsidR="0025328B">
        <w:t>n</w:t>
      </w:r>
      <w:r w:rsidR="00520871">
        <w:t xml:space="preserve"> page 5 it states</w:t>
      </w:r>
      <w:r w:rsidR="0025328B">
        <w:t>:</w:t>
      </w:r>
    </w:p>
    <w:p w14:paraId="12F22E33" w14:textId="6FE305C2" w:rsidR="0025328B" w:rsidRDefault="0025328B" w:rsidP="00515B50">
      <w:pPr>
        <w:pStyle w:val="ListParagraph"/>
        <w:ind w:left="0"/>
      </w:pPr>
    </w:p>
    <w:p w14:paraId="09F4594E" w14:textId="77777777" w:rsidR="0025328B" w:rsidRPr="0025328B" w:rsidRDefault="0025328B" w:rsidP="0025328B">
      <w:pPr>
        <w:pStyle w:val="ListParagraph"/>
        <w:tabs>
          <w:tab w:val="left" w:pos="1296"/>
        </w:tabs>
        <w:ind w:right="144"/>
        <w:textAlignment w:val="baseline"/>
        <w:rPr>
          <w:rFonts w:eastAsia="Arial"/>
          <w:iCs/>
          <w:spacing w:val="-4"/>
        </w:rPr>
      </w:pPr>
      <w:r w:rsidRPr="0025328B">
        <w:rPr>
          <w:rFonts w:eastAsia="Arial"/>
          <w:iCs/>
          <w:spacing w:val="-4"/>
        </w:rPr>
        <w:t xml:space="preserve">It can be difficult for SEACs to determine which expenses should be charged only to special education, and which expenses should be partially or even totally funded from Foundation Grants and other per-pupil funding envelopes. </w:t>
      </w:r>
    </w:p>
    <w:p w14:paraId="7E12B9A2" w14:textId="77777777" w:rsidR="0025328B" w:rsidRPr="0025328B" w:rsidRDefault="0025328B" w:rsidP="0025328B">
      <w:pPr>
        <w:pStyle w:val="ListParagraph"/>
        <w:tabs>
          <w:tab w:val="left" w:pos="1296"/>
        </w:tabs>
        <w:ind w:right="144"/>
        <w:textAlignment w:val="baseline"/>
        <w:rPr>
          <w:rFonts w:eastAsia="Arial"/>
          <w:iCs/>
          <w:spacing w:val="-4"/>
        </w:rPr>
      </w:pPr>
      <w:r w:rsidRPr="0025328B">
        <w:rPr>
          <w:rFonts w:eastAsia="Arial"/>
          <w:iCs/>
          <w:spacing w:val="-4"/>
        </w:rPr>
        <w:t xml:space="preserve">The Ministry says: “Professionals and para-professionals who provide support for special education, such as psychologists, psychometrists, and speech pathologists, are funded through a combination of the Pupil Foundation Grant, the Special Education Grant, and other supplemental grants”. </w:t>
      </w:r>
    </w:p>
    <w:p w14:paraId="552FC50F" w14:textId="73582608" w:rsidR="0025328B" w:rsidRPr="0025328B" w:rsidRDefault="0025328B" w:rsidP="0025328B">
      <w:pPr>
        <w:pStyle w:val="ListParagraph"/>
        <w:tabs>
          <w:tab w:val="left" w:pos="1296"/>
        </w:tabs>
        <w:ind w:right="144"/>
        <w:textAlignment w:val="baseline"/>
        <w:rPr>
          <w:rFonts w:eastAsia="Arial"/>
          <w:iCs/>
          <w:spacing w:val="-4"/>
        </w:rPr>
      </w:pPr>
      <w:r w:rsidRPr="0025328B">
        <w:rPr>
          <w:rFonts w:eastAsia="Arial"/>
          <w:iCs/>
          <w:spacing w:val="-4"/>
        </w:rPr>
        <w:t xml:space="preserve">If an initiative (such as mental health programming) applies to the entire student population, special education funding should not cover </w:t>
      </w:r>
      <w:proofErr w:type="gramStart"/>
      <w:r w:rsidRPr="0025328B">
        <w:rPr>
          <w:rFonts w:eastAsia="Arial"/>
          <w:iCs/>
          <w:spacing w:val="-4"/>
        </w:rPr>
        <w:t>all of</w:t>
      </w:r>
      <w:proofErr w:type="gramEnd"/>
      <w:r w:rsidRPr="0025328B">
        <w:rPr>
          <w:rFonts w:eastAsia="Arial"/>
          <w:iCs/>
          <w:spacing w:val="-4"/>
        </w:rPr>
        <w:t xml:space="preserve"> the costs.</w:t>
      </w:r>
    </w:p>
    <w:p w14:paraId="24A7A9C4" w14:textId="77777777" w:rsidR="0025328B" w:rsidRPr="0025328B" w:rsidRDefault="0025328B" w:rsidP="0025328B">
      <w:pPr>
        <w:widowControl w:val="0"/>
        <w:numPr>
          <w:ilvl w:val="0"/>
          <w:numId w:val="3"/>
        </w:numPr>
        <w:tabs>
          <w:tab w:val="left" w:pos="220"/>
          <w:tab w:val="left" w:pos="720"/>
        </w:tabs>
        <w:autoSpaceDE w:val="0"/>
        <w:autoSpaceDN w:val="0"/>
        <w:adjustRightInd w:val="0"/>
        <w:spacing w:after="0" w:line="240" w:lineRule="auto"/>
        <w:ind w:left="1080"/>
        <w:rPr>
          <w:rFonts w:cs="Calibri"/>
          <w:iCs/>
        </w:rPr>
      </w:pPr>
      <w:r w:rsidRPr="0025328B">
        <w:rPr>
          <w:rFonts w:cs="Calibri"/>
        </w:rPr>
        <w:t>SEACs should determine that special education money is spent only on what it should pay for, not on things for which other grants are available.</w:t>
      </w:r>
    </w:p>
    <w:p w14:paraId="4C8A84F0" w14:textId="6655C7B8" w:rsidR="0025328B" w:rsidRPr="0025328B" w:rsidRDefault="0025328B" w:rsidP="0025328B">
      <w:r>
        <w:br/>
      </w:r>
      <w:r w:rsidRPr="0025328B">
        <w:t>PAAC has asked the Ministry to clarify which school board expenses should be charged only to special education, and which should be totally or partially paid for with money from other funding envelopes. This is of particular importance for SEACs now that additional funding is meant to</w:t>
      </w:r>
      <w:r>
        <w:t xml:space="preserve"> </w:t>
      </w:r>
      <w:r w:rsidRPr="0025328B">
        <w:t>cover pandemic-related mental health and reading recovery costs.</w:t>
      </w:r>
      <w:r w:rsidR="00B63B28">
        <w:t xml:space="preserve"> </w:t>
      </w:r>
      <w:r w:rsidRPr="0025328B">
        <w:t xml:space="preserve">Ministry staff </w:t>
      </w:r>
      <w:r w:rsidR="00D36FC6">
        <w:t xml:space="preserve">have </w:t>
      </w:r>
      <w:r w:rsidRPr="0025328B">
        <w:t xml:space="preserve">said they will respond to </w:t>
      </w:r>
      <w:r w:rsidR="001C7397">
        <w:t>PAAC</w:t>
      </w:r>
      <w:r w:rsidRPr="0025328B">
        <w:t xml:space="preserve"> questions after the new Cabinet has been sworn in following the election.</w:t>
      </w:r>
      <w:r w:rsidR="00B63B28">
        <w:t xml:space="preserve"> </w:t>
      </w:r>
      <w:r w:rsidR="00D36FC6">
        <w:t>Further clarifications will be shared when they are available.</w:t>
      </w:r>
    </w:p>
    <w:p w14:paraId="719E3821" w14:textId="77777777" w:rsidR="00B63B28" w:rsidRPr="00D36FC6" w:rsidRDefault="00B63B28" w:rsidP="00B63B28">
      <w:pPr>
        <w:rPr>
          <w:b/>
          <w:bCs/>
        </w:rPr>
      </w:pPr>
      <w:r>
        <w:br/>
      </w:r>
      <w:r w:rsidRPr="00D36FC6">
        <w:rPr>
          <w:b/>
          <w:bCs/>
        </w:rPr>
        <w:t>3. SEAC recruitment for next term</w:t>
      </w:r>
    </w:p>
    <w:p w14:paraId="32CE1D6B" w14:textId="435A32D3" w:rsidR="00D36FC6" w:rsidRPr="00D36FC6" w:rsidRDefault="00B63B28" w:rsidP="00D36FC6">
      <w:pPr>
        <w:rPr>
          <w:b/>
          <w:bCs/>
          <w:lang w:val="en-US"/>
        </w:rPr>
      </w:pPr>
      <w:r>
        <w:t xml:space="preserve">With the municipal elections coming up next fall, SEACs will begin a new term. </w:t>
      </w:r>
      <w:r w:rsidRPr="001C7397">
        <w:rPr>
          <w:u w:val="single"/>
        </w:rPr>
        <w:t>It is important for SEACs to start planning for recruitment to fill any upcoming vacancies.</w:t>
      </w:r>
      <w:r>
        <w:t xml:space="preserve"> </w:t>
      </w:r>
      <w:r w:rsidR="00D36FC6">
        <w:t>To help with this process PAAC on SEAC has developed a tip sheet with</w:t>
      </w:r>
      <w:bookmarkStart w:id="4" w:name="_Hlk104973229"/>
      <w:r w:rsidR="00D36FC6">
        <w:t xml:space="preserve"> </w:t>
      </w:r>
      <w:r w:rsidR="00D36FC6" w:rsidRPr="00D36FC6">
        <w:rPr>
          <w:lang w:val="en-US"/>
        </w:rPr>
        <w:t>Effective Practices for Recruitment of Local Association Members for SEAC</w:t>
      </w:r>
      <w:r w:rsidR="00D36FC6" w:rsidRPr="00D36FC6">
        <w:rPr>
          <w:b/>
          <w:bCs/>
          <w:lang w:val="en-US"/>
        </w:rPr>
        <w:t xml:space="preserve"> </w:t>
      </w:r>
      <w:bookmarkEnd w:id="4"/>
      <w:r w:rsidR="00D36FC6" w:rsidRPr="00D36FC6">
        <w:rPr>
          <w:lang w:val="en-US"/>
        </w:rPr>
        <w:t>(attached).</w:t>
      </w:r>
    </w:p>
    <w:p w14:paraId="04D3CEFE" w14:textId="77777777" w:rsidR="0096097B" w:rsidRPr="0096097B" w:rsidRDefault="0096097B" w:rsidP="0096097B">
      <w:r>
        <w:br/>
      </w:r>
      <w:r w:rsidRPr="0096097B">
        <w:rPr>
          <w:b/>
          <w:bCs/>
        </w:rPr>
        <w:t xml:space="preserve">Questions?  </w:t>
      </w:r>
      <w:r w:rsidRPr="0096097B">
        <w:rPr>
          <w:bCs/>
        </w:rPr>
        <w:t xml:space="preserve">Email Diane Wagner at </w:t>
      </w:r>
      <w:hyperlink r:id="rId12" w:history="1">
        <w:r w:rsidRPr="0096097B">
          <w:rPr>
            <w:rStyle w:val="Hyperlink"/>
            <w:bCs/>
          </w:rPr>
          <w:t>dianew@LDAO.ca</w:t>
        </w:r>
      </w:hyperlink>
    </w:p>
    <w:p w14:paraId="1E971FD5" w14:textId="4CB8A48A" w:rsidR="0025328B" w:rsidRPr="0025328B" w:rsidRDefault="0025328B" w:rsidP="0025328B"/>
    <w:sectPr w:rsidR="0025328B" w:rsidRPr="0025328B">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20F7" w14:textId="77777777" w:rsidR="00FA049D" w:rsidRDefault="00FA049D" w:rsidP="0096097B">
      <w:pPr>
        <w:spacing w:after="0" w:line="240" w:lineRule="auto"/>
      </w:pPr>
      <w:r>
        <w:separator/>
      </w:r>
    </w:p>
  </w:endnote>
  <w:endnote w:type="continuationSeparator" w:id="0">
    <w:p w14:paraId="0DEB88C8" w14:textId="77777777" w:rsidR="00FA049D" w:rsidRDefault="00FA049D" w:rsidP="0096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53562"/>
      <w:docPartObj>
        <w:docPartGallery w:val="Page Numbers (Bottom of Page)"/>
        <w:docPartUnique/>
      </w:docPartObj>
    </w:sdtPr>
    <w:sdtEndPr>
      <w:rPr>
        <w:noProof/>
      </w:rPr>
    </w:sdtEndPr>
    <w:sdtContent>
      <w:p w14:paraId="383345C4" w14:textId="1121B3DD" w:rsidR="0096097B" w:rsidRDefault="009609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204C5" w14:textId="77777777" w:rsidR="0096097B" w:rsidRDefault="0096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641B" w14:textId="77777777" w:rsidR="00FA049D" w:rsidRDefault="00FA049D" w:rsidP="0096097B">
      <w:pPr>
        <w:spacing w:after="0" w:line="240" w:lineRule="auto"/>
      </w:pPr>
      <w:r>
        <w:separator/>
      </w:r>
    </w:p>
  </w:footnote>
  <w:footnote w:type="continuationSeparator" w:id="0">
    <w:p w14:paraId="7ED12DF5" w14:textId="77777777" w:rsidR="00FA049D" w:rsidRDefault="00FA049D" w:rsidP="00960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6DAC"/>
    <w:multiLevelType w:val="hybridMultilevel"/>
    <w:tmpl w:val="3D82F3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2E86FEE"/>
    <w:multiLevelType w:val="hybridMultilevel"/>
    <w:tmpl w:val="E974B02E"/>
    <w:lvl w:ilvl="0" w:tplc="0310DD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980E0D"/>
    <w:multiLevelType w:val="hybridMultilevel"/>
    <w:tmpl w:val="D4462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9C017D7"/>
    <w:multiLevelType w:val="hybridMultilevel"/>
    <w:tmpl w:val="944CC72E"/>
    <w:lvl w:ilvl="0" w:tplc="99B8C9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49537656">
    <w:abstractNumId w:val="3"/>
  </w:num>
  <w:num w:numId="2" w16cid:durableId="343165847">
    <w:abstractNumId w:val="0"/>
  </w:num>
  <w:num w:numId="3" w16cid:durableId="1238441531">
    <w:abstractNumId w:val="2"/>
  </w:num>
  <w:num w:numId="4" w16cid:durableId="90422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2D"/>
    <w:rsid w:val="001C7397"/>
    <w:rsid w:val="0025328B"/>
    <w:rsid w:val="002A65DA"/>
    <w:rsid w:val="00452EA1"/>
    <w:rsid w:val="004728F1"/>
    <w:rsid w:val="004F5E32"/>
    <w:rsid w:val="00515B50"/>
    <w:rsid w:val="00520871"/>
    <w:rsid w:val="00722913"/>
    <w:rsid w:val="0096097B"/>
    <w:rsid w:val="009A1CC2"/>
    <w:rsid w:val="00A00B76"/>
    <w:rsid w:val="00B63B28"/>
    <w:rsid w:val="00BF4C97"/>
    <w:rsid w:val="00C95A01"/>
    <w:rsid w:val="00CD32B6"/>
    <w:rsid w:val="00D36FC6"/>
    <w:rsid w:val="00DA318F"/>
    <w:rsid w:val="00EB0E95"/>
    <w:rsid w:val="00F63A2D"/>
    <w:rsid w:val="00FA0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06C"/>
  <w15:chartTrackingRefBased/>
  <w15:docId w15:val="{C73E8375-88D8-47EB-8052-D76EA45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2D"/>
    <w:pPr>
      <w:ind w:left="720"/>
      <w:contextualSpacing/>
    </w:pPr>
  </w:style>
  <w:style w:type="character" w:styleId="Hyperlink">
    <w:name w:val="Hyperlink"/>
    <w:basedOn w:val="DefaultParagraphFont"/>
    <w:uiPriority w:val="99"/>
    <w:unhideWhenUsed/>
    <w:rsid w:val="009A1CC2"/>
    <w:rPr>
      <w:color w:val="0563C1" w:themeColor="hyperlink"/>
      <w:u w:val="single"/>
    </w:rPr>
  </w:style>
  <w:style w:type="character" w:styleId="UnresolvedMention">
    <w:name w:val="Unresolved Mention"/>
    <w:basedOn w:val="DefaultParagraphFont"/>
    <w:uiPriority w:val="99"/>
    <w:semiHidden/>
    <w:unhideWhenUsed/>
    <w:rsid w:val="009A1CC2"/>
    <w:rPr>
      <w:color w:val="605E5C"/>
      <w:shd w:val="clear" w:color="auto" w:fill="E1DFDD"/>
    </w:rPr>
  </w:style>
  <w:style w:type="paragraph" w:styleId="Header">
    <w:name w:val="header"/>
    <w:basedOn w:val="Normal"/>
    <w:link w:val="HeaderChar"/>
    <w:uiPriority w:val="99"/>
    <w:unhideWhenUsed/>
    <w:rsid w:val="0096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7B"/>
  </w:style>
  <w:style w:type="paragraph" w:styleId="Footer">
    <w:name w:val="footer"/>
    <w:basedOn w:val="Normal"/>
    <w:link w:val="FooterChar"/>
    <w:uiPriority w:val="99"/>
    <w:unhideWhenUsed/>
    <w:rsid w:val="0096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8402">
      <w:bodyDiv w:val="1"/>
      <w:marLeft w:val="0"/>
      <w:marRight w:val="0"/>
      <w:marTop w:val="0"/>
      <w:marBottom w:val="0"/>
      <w:divBdr>
        <w:top w:val="none" w:sz="0" w:space="0" w:color="auto"/>
        <w:left w:val="none" w:sz="0" w:space="0" w:color="auto"/>
        <w:bottom w:val="none" w:sz="0" w:space="0" w:color="auto"/>
        <w:right w:val="none" w:sz="0" w:space="0" w:color="auto"/>
      </w:divBdr>
      <w:divsChild>
        <w:div w:id="105408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27613">
              <w:marLeft w:val="0"/>
              <w:marRight w:val="0"/>
              <w:marTop w:val="0"/>
              <w:marBottom w:val="0"/>
              <w:divBdr>
                <w:top w:val="none" w:sz="0" w:space="0" w:color="auto"/>
                <w:left w:val="none" w:sz="0" w:space="0" w:color="auto"/>
                <w:bottom w:val="none" w:sz="0" w:space="0" w:color="auto"/>
                <w:right w:val="none" w:sz="0" w:space="0" w:color="auto"/>
              </w:divBdr>
              <w:divsChild>
                <w:div w:id="1800758821">
                  <w:marLeft w:val="0"/>
                  <w:marRight w:val="0"/>
                  <w:marTop w:val="0"/>
                  <w:marBottom w:val="0"/>
                  <w:divBdr>
                    <w:top w:val="none" w:sz="0" w:space="0" w:color="auto"/>
                    <w:left w:val="none" w:sz="0" w:space="0" w:color="auto"/>
                    <w:bottom w:val="none" w:sz="0" w:space="0" w:color="auto"/>
                    <w:right w:val="none" w:sz="0" w:space="0" w:color="auto"/>
                  </w:divBdr>
                  <w:divsChild>
                    <w:div w:id="1593514544">
                      <w:marLeft w:val="0"/>
                      <w:marRight w:val="0"/>
                      <w:marTop w:val="0"/>
                      <w:marBottom w:val="0"/>
                      <w:divBdr>
                        <w:top w:val="none" w:sz="0" w:space="0" w:color="auto"/>
                        <w:left w:val="none" w:sz="0" w:space="0" w:color="auto"/>
                        <w:bottom w:val="none" w:sz="0" w:space="0" w:color="auto"/>
                        <w:right w:val="none" w:sz="0" w:space="0" w:color="auto"/>
                      </w:divBdr>
                    </w:div>
                    <w:div w:id="856307418">
                      <w:marLeft w:val="0"/>
                      <w:marRight w:val="0"/>
                      <w:marTop w:val="0"/>
                      <w:marBottom w:val="0"/>
                      <w:divBdr>
                        <w:top w:val="none" w:sz="0" w:space="0" w:color="auto"/>
                        <w:left w:val="none" w:sz="0" w:space="0" w:color="auto"/>
                        <w:bottom w:val="none" w:sz="0" w:space="0" w:color="auto"/>
                        <w:right w:val="none" w:sz="0" w:space="0" w:color="auto"/>
                      </w:divBdr>
                    </w:div>
                    <w:div w:id="1796211177">
                      <w:marLeft w:val="0"/>
                      <w:marRight w:val="0"/>
                      <w:marTop w:val="0"/>
                      <w:marBottom w:val="0"/>
                      <w:divBdr>
                        <w:top w:val="none" w:sz="0" w:space="0" w:color="auto"/>
                        <w:left w:val="none" w:sz="0" w:space="0" w:color="auto"/>
                        <w:bottom w:val="none" w:sz="0" w:space="0" w:color="auto"/>
                        <w:right w:val="none" w:sz="0" w:space="0" w:color="auto"/>
                      </w:divBdr>
                    </w:div>
                    <w:div w:id="13946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ew@LD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ac-seac.ca/home/paac-on-seac-effective-practices-handbook-for-seac-members/section-3-seac-roles-and-responsibilities/3-2-annual-seac-go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ac-seac.ca/home/paac-on-seac-effective-practices-handbook-for-seac-members/section-3-seac-roles-and-responsibilities/3-4-special-education-plan/" TargetMode="Externa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7</cp:revision>
  <dcterms:created xsi:type="dcterms:W3CDTF">2022-06-01T13:52:00Z</dcterms:created>
  <dcterms:modified xsi:type="dcterms:W3CDTF">2022-06-01T17:55:00Z</dcterms:modified>
</cp:coreProperties>
</file>