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B1" w:rsidRPr="004051B1" w:rsidRDefault="004051B1" w:rsidP="004051B1">
      <w:pPr>
        <w:jc w:val="center"/>
      </w:pPr>
      <w:r w:rsidRPr="004051B1">
        <w:drawing>
          <wp:inline distT="0" distB="0" distL="0" distR="0" wp14:anchorId="57E96D5E" wp14:editId="311596A0">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4051B1" w:rsidRPr="004051B1" w:rsidRDefault="004051B1" w:rsidP="004051B1">
      <w:pPr>
        <w:jc w:val="center"/>
        <w:rPr>
          <w:b/>
        </w:rPr>
      </w:pPr>
      <w:bookmarkStart w:id="0" w:name="_GoBack"/>
      <w:bookmarkEnd w:id="0"/>
    </w:p>
    <w:p w:rsidR="004051B1" w:rsidRPr="0015600E" w:rsidRDefault="004051B1" w:rsidP="004051B1">
      <w:pPr>
        <w:jc w:val="center"/>
        <w:rPr>
          <w:b/>
          <w:sz w:val="32"/>
          <w:szCs w:val="32"/>
        </w:rPr>
      </w:pPr>
      <w:r w:rsidRPr="0015600E">
        <w:rPr>
          <w:b/>
          <w:sz w:val="32"/>
          <w:szCs w:val="32"/>
        </w:rPr>
        <w:t>LDAO SEAC CIRCULAR</w:t>
      </w:r>
    </w:p>
    <w:p w:rsidR="004051B1" w:rsidRPr="004051B1" w:rsidRDefault="004051B1" w:rsidP="004051B1">
      <w:pPr>
        <w:jc w:val="center"/>
        <w:rPr>
          <w:b/>
        </w:rPr>
      </w:pPr>
      <w:r>
        <w:rPr>
          <w:b/>
        </w:rPr>
        <w:t>June</w:t>
      </w:r>
      <w:r w:rsidRPr="004051B1">
        <w:rPr>
          <w:b/>
        </w:rPr>
        <w:t xml:space="preserve"> 2018</w:t>
      </w:r>
      <w:r w:rsidRPr="004051B1">
        <w:rPr>
          <w:b/>
        </w:rPr>
        <w:br/>
      </w:r>
    </w:p>
    <w:p w:rsidR="004051B1" w:rsidRPr="004051B1" w:rsidRDefault="004051B1" w:rsidP="004051B1">
      <w:r w:rsidRPr="004051B1">
        <w:t>The Learning Disabilities Association of Ontario (LDAO) SEAC Circular is published 5 times a year, in September, November, February, April and June.</w:t>
      </w:r>
    </w:p>
    <w:p w:rsidR="004051B1" w:rsidRPr="004051B1" w:rsidRDefault="004051B1" w:rsidP="004051B1">
      <w:r w:rsidRPr="004051B1">
        <w:t xml:space="preserve">The following are some topics that your SEAC should be looking at. Action items and/or recommendations for effective practices will be </w:t>
      </w:r>
      <w:r w:rsidRPr="004051B1">
        <w:rPr>
          <w:u w:val="single"/>
        </w:rPr>
        <w:t>underlined</w:t>
      </w:r>
      <w:r w:rsidRPr="004051B1">
        <w:t>.</w:t>
      </w:r>
    </w:p>
    <w:p w:rsidR="004051B1" w:rsidRPr="004051B1" w:rsidRDefault="004051B1" w:rsidP="004051B1">
      <w:r w:rsidRPr="004051B1">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4051B1" w:rsidRDefault="004051B1" w:rsidP="004051B1">
      <w:pPr>
        <w:rPr>
          <w:b/>
        </w:rPr>
      </w:pPr>
      <w:r w:rsidRPr="004051B1">
        <w:rPr>
          <w:b/>
        </w:rPr>
        <w:br/>
        <w:t xml:space="preserve">The topics covered by this SEAC Circular: </w:t>
      </w:r>
    </w:p>
    <w:p w:rsidR="00CB4CFC" w:rsidRDefault="004051B1" w:rsidP="00CB4CFC">
      <w:r>
        <w:t xml:space="preserve">1. </w:t>
      </w:r>
      <w:r w:rsidR="00DA77DA">
        <w:t>Pre-p</w:t>
      </w:r>
      <w:r w:rsidR="00CB4CFC" w:rsidRPr="00CB4CFC">
        <w:t xml:space="preserve">lanning for the </w:t>
      </w:r>
      <w:r w:rsidR="00DA77DA">
        <w:t xml:space="preserve">2018-19 </w:t>
      </w:r>
      <w:r w:rsidR="00CB4CFC" w:rsidRPr="00CB4CFC">
        <w:t>SEAC year</w:t>
      </w:r>
    </w:p>
    <w:p w:rsidR="00CB4CFC" w:rsidRDefault="00CB4CFC" w:rsidP="00CB4CFC">
      <w:r>
        <w:t xml:space="preserve">2. </w:t>
      </w:r>
      <w:r w:rsidR="00DA77DA">
        <w:t xml:space="preserve">Accessibility </w:t>
      </w:r>
      <w:r w:rsidR="00875213">
        <w:t>updates</w:t>
      </w:r>
    </w:p>
    <w:p w:rsidR="00DA77DA" w:rsidRDefault="00DA77DA" w:rsidP="00CB4CFC">
      <w:r>
        <w:t xml:space="preserve">3. SEA </w:t>
      </w:r>
      <w:r w:rsidR="00695A0A" w:rsidRPr="00695A0A">
        <w:rPr>
          <w:bCs/>
          <w:lang w:val="en-US"/>
        </w:rPr>
        <w:t>Per Pupil Amount</w:t>
      </w:r>
      <w:r w:rsidR="00695A0A" w:rsidRPr="00695A0A">
        <w:rPr>
          <w:b/>
          <w:bCs/>
          <w:lang w:val="en-US"/>
        </w:rPr>
        <w:t xml:space="preserve"> </w:t>
      </w:r>
      <w:r>
        <w:t>funding</w:t>
      </w:r>
    </w:p>
    <w:p w:rsidR="00DA77DA" w:rsidRDefault="00DA77DA" w:rsidP="00CB4CFC">
      <w:r>
        <w:t>4. Cannabis education resources</w:t>
      </w:r>
    </w:p>
    <w:p w:rsidR="00DA77DA" w:rsidRDefault="00DA77DA" w:rsidP="00CB4CFC">
      <w:r>
        <w:t>5. LDAO Educators Institute</w:t>
      </w:r>
    </w:p>
    <w:p w:rsidR="00DA77DA" w:rsidRDefault="00DA77DA" w:rsidP="00CB4CFC">
      <w:pPr>
        <w:rPr>
          <w:b/>
        </w:rPr>
      </w:pPr>
      <w:r>
        <w:br/>
      </w:r>
      <w:r w:rsidRPr="00DA77DA">
        <w:rPr>
          <w:b/>
        </w:rPr>
        <w:t>List of Supplementary Materials:</w:t>
      </w:r>
    </w:p>
    <w:p w:rsidR="00DA77DA" w:rsidRDefault="00DA77DA" w:rsidP="00CB4CFC">
      <w:r>
        <w:t>1. Draft PAAC on SEAC Annual Calendar 2019-20</w:t>
      </w:r>
    </w:p>
    <w:p w:rsidR="00DA77DA" w:rsidRDefault="00DA77DA" w:rsidP="00CB4CFC">
      <w:r>
        <w:t xml:space="preserve">2. </w:t>
      </w:r>
      <w:r w:rsidR="00835AD6">
        <w:t xml:space="preserve">K-12 </w:t>
      </w:r>
      <w:r>
        <w:t xml:space="preserve">Education </w:t>
      </w:r>
      <w:r w:rsidR="00835AD6">
        <w:t>Standards Development Committee Key Messages</w:t>
      </w:r>
    </w:p>
    <w:p w:rsidR="00835AD6" w:rsidRDefault="00835AD6" w:rsidP="00CB4CFC">
      <w:r>
        <w:t>3. Educators</w:t>
      </w:r>
      <w:r w:rsidR="0091449F">
        <w:t>’</w:t>
      </w:r>
      <w:r>
        <w:t xml:space="preserve"> Institute flyer</w:t>
      </w:r>
    </w:p>
    <w:p w:rsidR="00DA77DA" w:rsidRPr="00DA77DA" w:rsidRDefault="00DA77DA" w:rsidP="00DA77DA">
      <w:pPr>
        <w:rPr>
          <w:b/>
        </w:rPr>
      </w:pPr>
      <w:r w:rsidRPr="00DA77DA">
        <w:rPr>
          <w:b/>
        </w:rPr>
        <w:t xml:space="preserve">Note: </w:t>
      </w:r>
      <w:r w:rsidRPr="00DA77DA">
        <w:t>You can access the SEAC Circular and supplementary materials at</w:t>
      </w:r>
      <w:r w:rsidRPr="00DA77DA">
        <w:br/>
      </w:r>
      <w:hyperlink r:id="rId8" w:history="1">
        <w:r w:rsidRPr="00DA77DA">
          <w:rPr>
            <w:rStyle w:val="Hyperlink"/>
          </w:rPr>
          <w:t>www.ldao.ca/about/public-policy-advocacy/seac-circulars/</w:t>
        </w:r>
      </w:hyperlink>
      <w:r w:rsidRPr="00DA77DA">
        <w:t xml:space="preserve">. </w:t>
      </w:r>
    </w:p>
    <w:p w:rsidR="00DA77DA" w:rsidRPr="00DA77DA" w:rsidRDefault="00DA77DA" w:rsidP="00DA77DA">
      <w:r w:rsidRPr="00DA77DA">
        <w:rPr>
          <w:lang w:val="en-US"/>
        </w:rPr>
        <w:t xml:space="preserve">You can access Ministry memos by date at: </w:t>
      </w:r>
      <w:hyperlink r:id="rId9" w:history="1">
        <w:r w:rsidRPr="00DA77DA">
          <w:rPr>
            <w:rStyle w:val="Hyperlink"/>
            <w:lang w:val="en-US"/>
          </w:rPr>
          <w:t>http://www.edu.gov.on.ca/eng/policyfunding/memos/</w:t>
        </w:r>
      </w:hyperlink>
    </w:p>
    <w:p w:rsidR="00835AD6" w:rsidRPr="0015363C" w:rsidRDefault="00835AD6" w:rsidP="00835AD6">
      <w:pPr>
        <w:rPr>
          <w:b/>
        </w:rPr>
      </w:pPr>
      <w:r>
        <w:br/>
      </w:r>
      <w:r w:rsidRPr="0015363C">
        <w:rPr>
          <w:b/>
        </w:rPr>
        <w:t>1. Pre-planning for the 2018-19 SEAC year</w:t>
      </w:r>
    </w:p>
    <w:p w:rsidR="004051B1" w:rsidRPr="004051B1" w:rsidRDefault="00835AD6" w:rsidP="004051B1">
      <w:r>
        <w:t>Many SEACs begin planning their agendas for the following academic year in June. To facilitate this process, a draft PAAC on SEAC Annual Calendar is attached, with dates updated. A revised version, with any new Ministry initiatives, will be sent in September.</w:t>
      </w:r>
    </w:p>
    <w:p w:rsidR="00DA77DA" w:rsidRDefault="00DA77DA" w:rsidP="00DA77DA">
      <w:pPr>
        <w:rPr>
          <w:bCs/>
          <w:lang w:val="en-US"/>
        </w:rPr>
      </w:pPr>
      <w:r w:rsidRPr="00DA77DA">
        <w:rPr>
          <w:bCs/>
          <w:lang w:val="en-US"/>
        </w:rPr>
        <w:lastRenderedPageBreak/>
        <w:t xml:space="preserve">The </w:t>
      </w:r>
      <w:r w:rsidRPr="00DA77DA">
        <w:rPr>
          <w:bCs/>
          <w:i/>
          <w:lang w:val="en-US"/>
        </w:rPr>
        <w:t>PAAC on SEAC Effective Practices Handbook</w:t>
      </w:r>
      <w:r w:rsidRPr="00DA77DA">
        <w:rPr>
          <w:bCs/>
          <w:lang w:val="en-US"/>
        </w:rPr>
        <w:t xml:space="preserve"> (2016) outlines effective practices to help </w:t>
      </w:r>
      <w:r w:rsidRPr="00DA77DA">
        <w:rPr>
          <w:bCs/>
        </w:rPr>
        <w:t xml:space="preserve">SEACs develop an annual plan (see: </w:t>
      </w:r>
      <w:r w:rsidRPr="00DA77DA">
        <w:rPr>
          <w:b/>
          <w:bCs/>
          <w:lang w:val="en-US"/>
        </w:rPr>
        <w:t>Section 3 SEAC Roles &amp; Responsibilities,</w:t>
      </w:r>
      <w:r w:rsidRPr="00DA77DA">
        <w:rPr>
          <w:bCs/>
          <w:lang w:val="en-US"/>
        </w:rPr>
        <w:t xml:space="preserve"> </w:t>
      </w:r>
      <w:hyperlink r:id="rId10" w:history="1">
        <w:r w:rsidR="0015600E" w:rsidRPr="008E3E6C">
          <w:rPr>
            <w:rStyle w:val="Hyperlink"/>
            <w:bCs/>
            <w:lang w:val="en-US"/>
          </w:rPr>
          <w:t>http://www.paac-seac.ca/home/paac-on-seac-effective-practices-handbook-for-seac-members/section-3-seac-roles-and-responsibilities/3-1-annual-planning/</w:t>
        </w:r>
      </w:hyperlink>
      <w:r w:rsidR="0015600E">
        <w:rPr>
          <w:bCs/>
          <w:lang w:val="en-US"/>
        </w:rPr>
        <w:t xml:space="preserve"> )</w:t>
      </w:r>
    </w:p>
    <w:p w:rsidR="00A957E4" w:rsidRPr="00EF00FF" w:rsidRDefault="0015363C" w:rsidP="00DA77DA">
      <w:pPr>
        <w:rPr>
          <w:b/>
          <w:bCs/>
        </w:rPr>
      </w:pPr>
      <w:r>
        <w:rPr>
          <w:bCs/>
          <w:lang w:val="en-US"/>
        </w:rPr>
        <w:br/>
      </w:r>
      <w:r w:rsidRPr="00EF00FF">
        <w:rPr>
          <w:b/>
          <w:bCs/>
        </w:rPr>
        <w:t xml:space="preserve">2. Accessibility </w:t>
      </w:r>
      <w:r w:rsidR="00875213">
        <w:rPr>
          <w:b/>
          <w:bCs/>
        </w:rPr>
        <w:t>updates</w:t>
      </w:r>
    </w:p>
    <w:p w:rsidR="0015363C" w:rsidRDefault="00A957E4" w:rsidP="0015363C">
      <w:pPr>
        <w:rPr>
          <w:bCs/>
        </w:rPr>
      </w:pPr>
      <w:r w:rsidRPr="0015363C">
        <w:rPr>
          <w:b/>
          <w:bCs/>
        </w:rPr>
        <w:t>TheTeac</w:t>
      </w:r>
      <w:r w:rsidR="0015363C" w:rsidRPr="0015363C">
        <w:rPr>
          <w:b/>
          <w:bCs/>
        </w:rPr>
        <w:t>hAbleProject</w:t>
      </w:r>
      <w:r w:rsidR="0015363C">
        <w:rPr>
          <w:bCs/>
        </w:rPr>
        <w:t xml:space="preserve"> is a curriculum resource on accessibility is</w:t>
      </w:r>
      <w:r w:rsidR="00EF00FF">
        <w:rPr>
          <w:bCs/>
        </w:rPr>
        <w:t xml:space="preserve">sues. </w:t>
      </w:r>
      <w:hyperlink r:id="rId11" w:history="1">
        <w:r w:rsidR="0015363C" w:rsidRPr="0015363C">
          <w:rPr>
            <w:rStyle w:val="Hyperlink"/>
            <w:bCs/>
          </w:rPr>
          <w:t>TheTea</w:t>
        </w:r>
        <w:r w:rsidR="0015363C" w:rsidRPr="0015363C">
          <w:rPr>
            <w:rStyle w:val="Hyperlink"/>
            <w:bCs/>
          </w:rPr>
          <w:t>c</w:t>
        </w:r>
        <w:r w:rsidR="0015363C" w:rsidRPr="0015363C">
          <w:rPr>
            <w:rStyle w:val="Hyperlink"/>
            <w:bCs/>
          </w:rPr>
          <w:t>hAb</w:t>
        </w:r>
        <w:r w:rsidR="0015363C" w:rsidRPr="0015363C">
          <w:rPr>
            <w:rStyle w:val="Hyperlink"/>
            <w:bCs/>
          </w:rPr>
          <w:t>l</w:t>
        </w:r>
        <w:r w:rsidR="0015363C" w:rsidRPr="0015363C">
          <w:rPr>
            <w:rStyle w:val="Hyperlink"/>
            <w:bCs/>
          </w:rPr>
          <w:t>eProject.org</w:t>
        </w:r>
      </w:hyperlink>
      <w:r w:rsidR="0015363C">
        <w:rPr>
          <w:bCs/>
        </w:rPr>
        <w:t xml:space="preserve"> </w:t>
      </w:r>
      <w:r w:rsidRPr="00A957E4">
        <w:rPr>
          <w:bCs/>
        </w:rPr>
        <w:t>has ready-to-use lesson plans, resources and pro</w:t>
      </w:r>
      <w:r w:rsidR="00875213">
        <w:rPr>
          <w:bCs/>
        </w:rPr>
        <w:t>fessional development tools. It i</w:t>
      </w:r>
      <w:r w:rsidRPr="00A957E4">
        <w:rPr>
          <w:bCs/>
        </w:rPr>
        <w:t>s designed to help Ontario educators and school board staff build their awareness of accessibility issues, and to equip them with the information and materials they need to educate and inspire students.</w:t>
      </w:r>
      <w:r w:rsidR="0015363C">
        <w:rPr>
          <w:bCs/>
        </w:rPr>
        <w:t xml:space="preserve"> </w:t>
      </w:r>
      <w:r w:rsidR="0015363C" w:rsidRPr="0015363C">
        <w:rPr>
          <w:bCs/>
        </w:rPr>
        <w:t>The site is a joint project</w:t>
      </w:r>
      <w:r w:rsidR="0015363C">
        <w:rPr>
          <w:bCs/>
        </w:rPr>
        <w:t xml:space="preserve"> by Ontario school boards, </w:t>
      </w:r>
      <w:r w:rsidR="0015363C" w:rsidRPr="0015363C">
        <w:rPr>
          <w:bCs/>
        </w:rPr>
        <w:t>funded by the Accessibility Directorate of Ontario. The content was created by Ontario educators and is available in English and French. During the 2017-18 school year, the site was upgraded and relaunched.</w:t>
      </w:r>
      <w:r w:rsidR="00EF00FF">
        <w:rPr>
          <w:bCs/>
        </w:rPr>
        <w:t xml:space="preserve"> </w:t>
      </w:r>
    </w:p>
    <w:p w:rsidR="00EF00FF" w:rsidRDefault="00EF00FF" w:rsidP="0015363C">
      <w:pPr>
        <w:rPr>
          <w:bCs/>
        </w:rPr>
      </w:pPr>
      <w:r w:rsidRPr="00EF00FF">
        <w:rPr>
          <w:bCs/>
        </w:rPr>
        <w:t xml:space="preserve">The </w:t>
      </w:r>
      <w:r w:rsidRPr="00EF00FF">
        <w:rPr>
          <w:b/>
          <w:bCs/>
        </w:rPr>
        <w:t>Accessible Education Standard Development Committee</w:t>
      </w:r>
      <w:r w:rsidRPr="00EF00FF">
        <w:rPr>
          <w:bCs/>
        </w:rPr>
        <w:t xml:space="preserve"> has begun to meet to develop recommendations for a new standard.  The committee is divided into two sections, one looking at K–12 education, and one at postsecondary education. There will be a joint subcommittee set up of members from the K-12 group and the postsecondary group, to look at overlapping issues.</w:t>
      </w:r>
    </w:p>
    <w:p w:rsidR="00EF00FF" w:rsidRPr="0015363C" w:rsidRDefault="00EF00FF" w:rsidP="0015363C">
      <w:pPr>
        <w:rPr>
          <w:bCs/>
        </w:rPr>
      </w:pPr>
      <w:r w:rsidRPr="00875213">
        <w:rPr>
          <w:b/>
          <w:bCs/>
        </w:rPr>
        <w:t>Key Messages</w:t>
      </w:r>
      <w:r>
        <w:rPr>
          <w:bCs/>
        </w:rPr>
        <w:t xml:space="preserve"> from the April meeting of the K-12 committee are attached.</w:t>
      </w:r>
    </w:p>
    <w:p w:rsidR="00A957E4" w:rsidRPr="00A957E4" w:rsidRDefault="00A957E4" w:rsidP="00A957E4">
      <w:pPr>
        <w:rPr>
          <w:bCs/>
        </w:rPr>
      </w:pPr>
    </w:p>
    <w:p w:rsidR="00EF00FF" w:rsidRPr="00EF00FF" w:rsidRDefault="00EF00FF" w:rsidP="00EF00FF">
      <w:pPr>
        <w:rPr>
          <w:b/>
          <w:bCs/>
        </w:rPr>
      </w:pPr>
      <w:r w:rsidRPr="00EF00FF">
        <w:rPr>
          <w:b/>
          <w:bCs/>
        </w:rPr>
        <w:t xml:space="preserve">3. SEA </w:t>
      </w:r>
      <w:r w:rsidR="0011044D" w:rsidRPr="0011044D">
        <w:rPr>
          <w:b/>
          <w:bCs/>
          <w:lang w:val="en-US"/>
        </w:rPr>
        <w:t>Per Pupil Amount Funding</w:t>
      </w:r>
    </w:p>
    <w:p w:rsidR="0011044D" w:rsidRDefault="00EF00FF" w:rsidP="0011044D">
      <w:pPr>
        <w:rPr>
          <w:lang w:val="en-US"/>
        </w:rPr>
      </w:pPr>
      <w:r>
        <w:rPr>
          <w:bCs/>
          <w:lang w:val="en-US"/>
        </w:rPr>
        <w:t xml:space="preserve">There is an important change in the documentation required for </w:t>
      </w:r>
      <w:r w:rsidRPr="00EF00FF">
        <w:rPr>
          <w:bCs/>
          <w:lang w:val="en-US"/>
        </w:rPr>
        <w:t>SEA Per Pupil Amount</w:t>
      </w:r>
      <w:r>
        <w:rPr>
          <w:bCs/>
          <w:lang w:val="en-US"/>
        </w:rPr>
        <w:t xml:space="preserve"> Funding, as outlined in </w:t>
      </w:r>
      <w:hyperlink r:id="rId12" w:history="1">
        <w:r w:rsidR="00A957E4" w:rsidRPr="00A957E4">
          <w:rPr>
            <w:rStyle w:val="Hyperlink"/>
          </w:rPr>
          <w:t>Special Equipment A</w:t>
        </w:r>
        <w:r w:rsidR="00A957E4" w:rsidRPr="00A957E4">
          <w:rPr>
            <w:rStyle w:val="Hyperlink"/>
          </w:rPr>
          <w:t>m</w:t>
        </w:r>
        <w:r w:rsidR="00A957E4" w:rsidRPr="00A957E4">
          <w:rPr>
            <w:rStyle w:val="Hyperlink"/>
          </w:rPr>
          <w:t>o</w:t>
        </w:r>
        <w:r w:rsidR="00A957E4" w:rsidRPr="00A957E4">
          <w:rPr>
            <w:rStyle w:val="Hyperlink"/>
          </w:rPr>
          <w:t>unt (SEA), 2018-19</w:t>
        </w:r>
      </w:hyperlink>
      <w:r>
        <w:t xml:space="preserve">.  </w:t>
      </w:r>
      <w:r w:rsidR="0011044D" w:rsidRPr="0011044D">
        <w:rPr>
          <w:lang w:val="en-US"/>
        </w:rPr>
        <w:t>Supporting documentation for SEA PPA purchases is now reduced to the purchase invoice and</w:t>
      </w:r>
      <w:r w:rsidR="0091449F" w:rsidRPr="0091449F">
        <w:rPr>
          <w:rFonts w:eastAsia="Arial"/>
          <w:color w:val="000000"/>
          <w:sz w:val="24"/>
          <w:lang w:val="en-US"/>
        </w:rPr>
        <w:t xml:space="preserve"> </w:t>
      </w:r>
      <w:r w:rsidR="0091449F" w:rsidRPr="0091449F">
        <w:rPr>
          <w:lang w:val="en-US"/>
        </w:rPr>
        <w:t>a copy of the student’s current Individual Education Plan (IEP) that provides evidence of the intended use of the equipment in the student’s program</w:t>
      </w:r>
      <w:r w:rsidR="0091449F">
        <w:rPr>
          <w:lang w:val="en-US"/>
        </w:rPr>
        <w:t>.</w:t>
      </w:r>
      <w:r w:rsidR="0011044D" w:rsidRPr="0091449F">
        <w:rPr>
          <w:lang w:val="en-US"/>
        </w:rPr>
        <w:t xml:space="preserve"> </w:t>
      </w:r>
      <w:r w:rsidR="0011044D">
        <w:rPr>
          <w:lang w:val="en-US"/>
        </w:rPr>
        <w:t>That means a professional assessment making recommendations for SEA technology is no longer required</w:t>
      </w:r>
      <w:r w:rsidR="0091449F">
        <w:rPr>
          <w:lang w:val="en-US"/>
        </w:rPr>
        <w:t xml:space="preserve"> for PPA funding</w:t>
      </w:r>
      <w:r w:rsidR="0011044D">
        <w:rPr>
          <w:lang w:val="en-US"/>
        </w:rPr>
        <w:t xml:space="preserve">, although it is still required for </w:t>
      </w:r>
      <w:r w:rsidR="00695A0A">
        <w:rPr>
          <w:lang w:val="en-US"/>
        </w:rPr>
        <w:t xml:space="preserve">SEA </w:t>
      </w:r>
      <w:r w:rsidR="0011044D">
        <w:rPr>
          <w:lang w:val="en-US"/>
        </w:rPr>
        <w:t>Claim</w:t>
      </w:r>
      <w:r w:rsidR="0091449F">
        <w:rPr>
          <w:lang w:val="en-US"/>
        </w:rPr>
        <w:t>s-B</w:t>
      </w:r>
      <w:r w:rsidR="0011044D">
        <w:rPr>
          <w:lang w:val="en-US"/>
        </w:rPr>
        <w:t xml:space="preserve">ased funding. Computer related equipment </w:t>
      </w:r>
      <w:r w:rsidR="00695A0A">
        <w:rPr>
          <w:lang w:val="en-US"/>
        </w:rPr>
        <w:t>and software come</w:t>
      </w:r>
      <w:r w:rsidR="0011044D">
        <w:rPr>
          <w:lang w:val="en-US"/>
        </w:rPr>
        <w:t xml:space="preserve"> under the </w:t>
      </w:r>
      <w:r w:rsidR="00695A0A">
        <w:rPr>
          <w:lang w:val="en-US"/>
        </w:rPr>
        <w:t xml:space="preserve">SEA Per </w:t>
      </w:r>
      <w:r w:rsidR="0011044D">
        <w:rPr>
          <w:lang w:val="en-US"/>
        </w:rPr>
        <w:t>Pupil Amount</w:t>
      </w:r>
      <w:r w:rsidR="00695A0A">
        <w:rPr>
          <w:lang w:val="en-US"/>
        </w:rPr>
        <w:t xml:space="preserve"> funding.</w:t>
      </w:r>
    </w:p>
    <w:p w:rsidR="0011044D" w:rsidRPr="00695A0A" w:rsidRDefault="00695A0A" w:rsidP="00695A0A">
      <w:pPr>
        <w:rPr>
          <w:lang w:val="en-US"/>
        </w:rPr>
      </w:pPr>
      <w:r>
        <w:rPr>
          <w:lang w:val="en-US"/>
        </w:rPr>
        <w:t xml:space="preserve">The new SEA Guidelines also state that </w:t>
      </w:r>
      <w:r w:rsidR="0011044D" w:rsidRPr="0011044D">
        <w:rPr>
          <w:lang w:val="en-US"/>
        </w:rPr>
        <w:t>SEA PPA equipment may be used by more than one student</w:t>
      </w:r>
      <w:r>
        <w:rPr>
          <w:lang w:val="en-US"/>
        </w:rPr>
        <w:t xml:space="preserve">, </w:t>
      </w:r>
      <w:r w:rsidRPr="00695A0A">
        <w:rPr>
          <w:lang w:val="en-US"/>
        </w:rPr>
        <w:t>a</w:t>
      </w:r>
      <w:r>
        <w:rPr>
          <w:lang w:val="en-US"/>
        </w:rPr>
        <w:t xml:space="preserve">t a school board’s discretion, although boards must </w:t>
      </w:r>
      <w:r w:rsidR="0011044D" w:rsidRPr="0011044D">
        <w:rPr>
          <w:lang w:val="en-US"/>
        </w:rPr>
        <w:t>continue to ensure that the equipment needs of students are being met.</w:t>
      </w:r>
      <w:r w:rsidRPr="00695A0A">
        <w:rPr>
          <w:rFonts w:eastAsia="Arial"/>
          <w:color w:val="000000"/>
          <w:sz w:val="24"/>
          <w:lang w:val="en-US"/>
        </w:rPr>
        <w:t xml:space="preserve"> </w:t>
      </w:r>
    </w:p>
    <w:p w:rsidR="0011044D" w:rsidRDefault="0011044D" w:rsidP="0011044D">
      <w:pPr>
        <w:rPr>
          <w:lang w:val="en-US"/>
        </w:rPr>
      </w:pPr>
    </w:p>
    <w:p w:rsidR="00F36EED" w:rsidRDefault="00F36EED" w:rsidP="00F36EED">
      <w:pPr>
        <w:rPr>
          <w:b/>
        </w:rPr>
      </w:pPr>
      <w:r w:rsidRPr="00F36EED">
        <w:rPr>
          <w:b/>
        </w:rPr>
        <w:t>4. Cannabis education resources</w:t>
      </w:r>
    </w:p>
    <w:p w:rsidR="00F36EED" w:rsidRPr="00F36EED" w:rsidRDefault="00F36EED" w:rsidP="0011044D">
      <w:pPr>
        <w:sectPr w:rsidR="00F36EED" w:rsidRPr="00F36EED">
          <w:footerReference w:type="default" r:id="rId13"/>
          <w:pgSz w:w="12240" w:h="15840"/>
          <w:pgMar w:top="1440" w:right="1046" w:bottom="654" w:left="1594" w:header="720" w:footer="720" w:gutter="0"/>
          <w:cols w:space="720"/>
        </w:sectPr>
      </w:pPr>
      <w:r>
        <w:t>In preparation for the upcoming legalization of cannabis for recreational use, the Ministry has committed funding to develop resources and supports for the education sector, and funding to school boards to support training for administrators and educators. Currently, the Ministry has posted education resources for educators and parents, and highlighted a resource for youth developed by the Kids Help Phone line.</w:t>
      </w:r>
      <w:r w:rsidR="00875213">
        <w:t xml:space="preserve"> </w:t>
      </w:r>
    </w:p>
    <w:p w:rsidR="00F36EED" w:rsidRDefault="00875213">
      <w:hyperlink r:id="rId14" w:history="1">
        <w:r w:rsidR="00835AD6" w:rsidRPr="00875213">
          <w:rPr>
            <w:rStyle w:val="Hyperlink"/>
          </w:rPr>
          <w:t>Cannabis Infor</w:t>
        </w:r>
        <w:r w:rsidR="00835AD6" w:rsidRPr="00875213">
          <w:rPr>
            <w:rStyle w:val="Hyperlink"/>
          </w:rPr>
          <w:t>m</w:t>
        </w:r>
        <w:r w:rsidR="00835AD6" w:rsidRPr="00875213">
          <w:rPr>
            <w:rStyle w:val="Hyperlink"/>
          </w:rPr>
          <w:t>a</w:t>
        </w:r>
        <w:r w:rsidR="00835AD6" w:rsidRPr="00875213">
          <w:rPr>
            <w:rStyle w:val="Hyperlink"/>
          </w:rPr>
          <w:t>tion for E</w:t>
        </w:r>
        <w:r w:rsidR="00835AD6" w:rsidRPr="00875213">
          <w:rPr>
            <w:rStyle w:val="Hyperlink"/>
          </w:rPr>
          <w:t>d</w:t>
        </w:r>
        <w:r w:rsidR="00835AD6" w:rsidRPr="00875213">
          <w:rPr>
            <w:rStyle w:val="Hyperlink"/>
          </w:rPr>
          <w:t>ucators</w:t>
        </w:r>
      </w:hyperlink>
      <w:r w:rsidR="00835AD6" w:rsidRPr="00835AD6">
        <w:t xml:space="preserve"> </w:t>
      </w:r>
    </w:p>
    <w:p w:rsidR="00A957E4" w:rsidRDefault="00875213">
      <w:hyperlink r:id="rId15" w:history="1">
        <w:r w:rsidR="00A957E4" w:rsidRPr="00875213">
          <w:rPr>
            <w:rStyle w:val="Hyperlink"/>
          </w:rPr>
          <w:t>Cannabis: What Parent</w:t>
        </w:r>
        <w:r w:rsidR="00A957E4" w:rsidRPr="00875213">
          <w:rPr>
            <w:rStyle w:val="Hyperlink"/>
          </w:rPr>
          <w:t>s</w:t>
        </w:r>
        <w:r w:rsidR="00A957E4" w:rsidRPr="00875213">
          <w:rPr>
            <w:rStyle w:val="Hyperlink"/>
          </w:rPr>
          <w:t>/</w:t>
        </w:r>
        <w:r w:rsidR="00A957E4" w:rsidRPr="00875213">
          <w:rPr>
            <w:rStyle w:val="Hyperlink"/>
          </w:rPr>
          <w:t>G</w:t>
        </w:r>
        <w:r w:rsidR="00A957E4" w:rsidRPr="00875213">
          <w:rPr>
            <w:rStyle w:val="Hyperlink"/>
          </w:rPr>
          <w:t>uardians a</w:t>
        </w:r>
        <w:r w:rsidR="00A957E4" w:rsidRPr="00875213">
          <w:rPr>
            <w:rStyle w:val="Hyperlink"/>
          </w:rPr>
          <w:t>n</w:t>
        </w:r>
        <w:r w:rsidR="00A957E4" w:rsidRPr="00875213">
          <w:rPr>
            <w:rStyle w:val="Hyperlink"/>
          </w:rPr>
          <w:t>d Caregivers Need to Know</w:t>
        </w:r>
      </w:hyperlink>
    </w:p>
    <w:p w:rsidR="00A957E4" w:rsidRDefault="00A957E4" w:rsidP="00A957E4">
      <w:hyperlink r:id="rId16" w:history="1">
        <w:r w:rsidRPr="008E3E6C">
          <w:rPr>
            <w:rStyle w:val="Hyperlink"/>
          </w:rPr>
          <w:t>https://kidshelpphone.ca/ar</w:t>
        </w:r>
        <w:r w:rsidRPr="008E3E6C">
          <w:rPr>
            <w:rStyle w:val="Hyperlink"/>
          </w:rPr>
          <w:t>t</w:t>
        </w:r>
        <w:r w:rsidRPr="008E3E6C">
          <w:rPr>
            <w:rStyle w:val="Hyperlink"/>
          </w:rPr>
          <w:t>icle/cannabis-important-things-know</w:t>
        </w:r>
      </w:hyperlink>
      <w:r>
        <w:t xml:space="preserve"> </w:t>
      </w:r>
    </w:p>
    <w:p w:rsidR="00F36EED" w:rsidRDefault="00F36EED" w:rsidP="00F36EED">
      <w:pPr>
        <w:rPr>
          <w:b/>
        </w:rPr>
      </w:pPr>
      <w:r>
        <w:br/>
      </w:r>
      <w:r w:rsidRPr="00F36EED">
        <w:rPr>
          <w:b/>
        </w:rPr>
        <w:t>5. LDAO Educators</w:t>
      </w:r>
      <w:r w:rsidR="0091449F">
        <w:rPr>
          <w:b/>
        </w:rPr>
        <w:t>’</w:t>
      </w:r>
      <w:r w:rsidRPr="00F36EED">
        <w:rPr>
          <w:b/>
        </w:rPr>
        <w:t xml:space="preserve"> Institute</w:t>
      </w:r>
    </w:p>
    <w:p w:rsidR="0091449F" w:rsidRDefault="0091449F" w:rsidP="00F36EED">
      <w:pPr>
        <w:rPr>
          <w:lang w:val="en-US"/>
        </w:rPr>
      </w:pPr>
      <w:r w:rsidRPr="0091449F">
        <w:rPr>
          <w:lang w:val="en-US"/>
        </w:rPr>
        <w:t xml:space="preserve">The </w:t>
      </w:r>
      <w:r w:rsidRPr="0091449F">
        <w:rPr>
          <w:b/>
          <w:lang w:val="en-US"/>
        </w:rPr>
        <w:t>Educators’ Institute</w:t>
      </w:r>
      <w:r w:rsidRPr="0091449F">
        <w:rPr>
          <w:lang w:val="en-US"/>
        </w:rPr>
        <w:t xml:space="preserve"> is a two-day bilingual conference aimed at providing Ontario educators with relevant and practical information and strategies to support their students with learning disabilities.</w:t>
      </w:r>
      <w:r>
        <w:rPr>
          <w:lang w:val="en-US"/>
        </w:rPr>
        <w:t xml:space="preserve"> It will take place on </w:t>
      </w:r>
      <w:r w:rsidRPr="0091449F">
        <w:rPr>
          <w:lang w:val="en-US"/>
        </w:rPr>
        <w:t>August 21st &amp; 22nd, </w:t>
      </w:r>
      <w:r>
        <w:rPr>
          <w:lang w:val="en-US"/>
        </w:rPr>
        <w:t>2018, at the Hilton Mississauga/Meadowvale.</w:t>
      </w:r>
    </w:p>
    <w:p w:rsidR="00F36EED" w:rsidRDefault="0091449F" w:rsidP="00F36EED">
      <w:pPr>
        <w:rPr>
          <w:lang w:val="en-US"/>
        </w:rPr>
      </w:pPr>
      <w:r>
        <w:rPr>
          <w:lang w:val="en-US"/>
        </w:rPr>
        <w:t xml:space="preserve">For more information and registration: </w:t>
      </w:r>
      <w:hyperlink r:id="rId17" w:history="1">
        <w:r w:rsidRPr="008E3E6C">
          <w:rPr>
            <w:rStyle w:val="Hyperlink"/>
            <w:lang w:val="en-US"/>
          </w:rPr>
          <w:t>www.ldatschool.ca/annual-edu</w:t>
        </w:r>
        <w:r w:rsidRPr="008E3E6C">
          <w:rPr>
            <w:rStyle w:val="Hyperlink"/>
            <w:lang w:val="en-US"/>
          </w:rPr>
          <w:t>c</w:t>
        </w:r>
        <w:r w:rsidRPr="008E3E6C">
          <w:rPr>
            <w:rStyle w:val="Hyperlink"/>
            <w:lang w:val="en-US"/>
          </w:rPr>
          <w:t>ators-institute/</w:t>
        </w:r>
      </w:hyperlink>
      <w:r>
        <w:rPr>
          <w:lang w:val="en-US"/>
        </w:rPr>
        <w:t xml:space="preserve">. </w:t>
      </w:r>
    </w:p>
    <w:p w:rsidR="0091449F" w:rsidRPr="00F36EED" w:rsidRDefault="0091449F" w:rsidP="00F36EED">
      <w:r>
        <w:rPr>
          <w:lang w:val="en-US"/>
        </w:rPr>
        <w:t xml:space="preserve">Please share the </w:t>
      </w:r>
      <w:r w:rsidRPr="0091449F">
        <w:rPr>
          <w:b/>
          <w:lang w:val="en-US"/>
        </w:rPr>
        <w:t>attached flyer</w:t>
      </w:r>
      <w:r>
        <w:rPr>
          <w:lang w:val="en-US"/>
        </w:rPr>
        <w:t xml:space="preserve"> with educators at your school board.</w:t>
      </w:r>
    </w:p>
    <w:p w:rsidR="00F36EED" w:rsidRDefault="00F36EED" w:rsidP="00A957E4"/>
    <w:p w:rsidR="00875213" w:rsidRPr="00875213" w:rsidRDefault="00875213" w:rsidP="00875213">
      <w:pPr>
        <w:rPr>
          <w:iCs/>
          <w:lang w:val="en"/>
        </w:rPr>
      </w:pPr>
      <w:r w:rsidRPr="00875213">
        <w:rPr>
          <w:b/>
          <w:bCs/>
        </w:rPr>
        <w:t xml:space="preserve">Questions?  </w:t>
      </w:r>
      <w:r w:rsidRPr="00875213">
        <w:rPr>
          <w:bCs/>
        </w:rPr>
        <w:t xml:space="preserve">Email Diane Wagner at </w:t>
      </w:r>
      <w:hyperlink r:id="rId18" w:history="1">
        <w:r w:rsidRPr="00875213">
          <w:rPr>
            <w:rStyle w:val="Hyperlink"/>
            <w:bCs/>
          </w:rPr>
          <w:t>dianew@LDAO.ca</w:t>
        </w:r>
      </w:hyperlink>
      <w:r w:rsidRPr="00875213">
        <w:rPr>
          <w:bCs/>
        </w:rPr>
        <w:t xml:space="preserve"> or call (416) 929-4311 Ex. 22 (Mon.)</w:t>
      </w:r>
    </w:p>
    <w:p w:rsidR="00875213" w:rsidRPr="00A957E4" w:rsidRDefault="00875213" w:rsidP="00A957E4"/>
    <w:sectPr w:rsidR="00875213" w:rsidRPr="00A957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13" w:rsidRDefault="00875213" w:rsidP="00875213">
      <w:pPr>
        <w:spacing w:after="0" w:line="240" w:lineRule="auto"/>
      </w:pPr>
      <w:r>
        <w:separator/>
      </w:r>
    </w:p>
  </w:endnote>
  <w:endnote w:type="continuationSeparator" w:id="0">
    <w:p w:rsidR="00875213" w:rsidRDefault="00875213" w:rsidP="0087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247571"/>
      <w:docPartObj>
        <w:docPartGallery w:val="Page Numbers (Bottom of Page)"/>
        <w:docPartUnique/>
      </w:docPartObj>
    </w:sdtPr>
    <w:sdtEndPr>
      <w:rPr>
        <w:noProof/>
      </w:rPr>
    </w:sdtEndPr>
    <w:sdtContent>
      <w:p w:rsidR="00875213" w:rsidRDefault="00875213">
        <w:pPr>
          <w:pStyle w:val="Footer"/>
          <w:jc w:val="right"/>
        </w:pPr>
        <w:r>
          <w:fldChar w:fldCharType="begin"/>
        </w:r>
        <w:r>
          <w:instrText xml:space="preserve"> PAGE   \* MERGEFORMAT </w:instrText>
        </w:r>
        <w:r>
          <w:fldChar w:fldCharType="separate"/>
        </w:r>
        <w:r w:rsidR="0015600E">
          <w:rPr>
            <w:noProof/>
          </w:rPr>
          <w:t>3</w:t>
        </w:r>
        <w:r>
          <w:rPr>
            <w:noProof/>
          </w:rPr>
          <w:fldChar w:fldCharType="end"/>
        </w:r>
      </w:p>
    </w:sdtContent>
  </w:sdt>
  <w:p w:rsidR="00875213" w:rsidRDefault="0087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13" w:rsidRDefault="00875213" w:rsidP="00875213">
      <w:pPr>
        <w:spacing w:after="0" w:line="240" w:lineRule="auto"/>
      </w:pPr>
      <w:r>
        <w:separator/>
      </w:r>
    </w:p>
  </w:footnote>
  <w:footnote w:type="continuationSeparator" w:id="0">
    <w:p w:rsidR="00875213" w:rsidRDefault="00875213" w:rsidP="00875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5481"/>
    <w:multiLevelType w:val="multilevel"/>
    <w:tmpl w:val="4838DA4C"/>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5D1C36"/>
    <w:multiLevelType w:val="hybridMultilevel"/>
    <w:tmpl w:val="763C3E5C"/>
    <w:lvl w:ilvl="0" w:tplc="CFE40AE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B1"/>
    <w:rsid w:val="0011044D"/>
    <w:rsid w:val="0015363C"/>
    <w:rsid w:val="0015600E"/>
    <w:rsid w:val="004051B1"/>
    <w:rsid w:val="004074DD"/>
    <w:rsid w:val="00695A0A"/>
    <w:rsid w:val="00753A9A"/>
    <w:rsid w:val="007E6A66"/>
    <w:rsid w:val="00835AD6"/>
    <w:rsid w:val="00875213"/>
    <w:rsid w:val="0091449F"/>
    <w:rsid w:val="00A957E4"/>
    <w:rsid w:val="00CB4CFC"/>
    <w:rsid w:val="00DA77DA"/>
    <w:rsid w:val="00EF00FF"/>
    <w:rsid w:val="00F36EED"/>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F12E5E"/>
  <w15:chartTrackingRefBased/>
  <w15:docId w15:val="{7BDAD956-0CE6-4F06-905B-8812B6FC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7DA"/>
    <w:rPr>
      <w:color w:val="0563C1" w:themeColor="hyperlink"/>
      <w:u w:val="single"/>
    </w:rPr>
  </w:style>
  <w:style w:type="character" w:styleId="CommentReference">
    <w:name w:val="annotation reference"/>
    <w:basedOn w:val="DefaultParagraphFont"/>
    <w:uiPriority w:val="99"/>
    <w:semiHidden/>
    <w:unhideWhenUsed/>
    <w:rsid w:val="0015363C"/>
    <w:rPr>
      <w:sz w:val="16"/>
      <w:szCs w:val="16"/>
    </w:rPr>
  </w:style>
  <w:style w:type="paragraph" w:styleId="CommentText">
    <w:name w:val="annotation text"/>
    <w:basedOn w:val="Normal"/>
    <w:link w:val="CommentTextChar"/>
    <w:uiPriority w:val="99"/>
    <w:semiHidden/>
    <w:unhideWhenUsed/>
    <w:rsid w:val="0015363C"/>
    <w:pPr>
      <w:spacing w:line="240" w:lineRule="auto"/>
    </w:pPr>
    <w:rPr>
      <w:sz w:val="20"/>
      <w:szCs w:val="20"/>
    </w:rPr>
  </w:style>
  <w:style w:type="character" w:customStyle="1" w:styleId="CommentTextChar">
    <w:name w:val="Comment Text Char"/>
    <w:basedOn w:val="DefaultParagraphFont"/>
    <w:link w:val="CommentText"/>
    <w:uiPriority w:val="99"/>
    <w:semiHidden/>
    <w:rsid w:val="0015363C"/>
    <w:rPr>
      <w:sz w:val="20"/>
      <w:szCs w:val="20"/>
    </w:rPr>
  </w:style>
  <w:style w:type="paragraph" w:styleId="CommentSubject">
    <w:name w:val="annotation subject"/>
    <w:basedOn w:val="CommentText"/>
    <w:next w:val="CommentText"/>
    <w:link w:val="CommentSubjectChar"/>
    <w:uiPriority w:val="99"/>
    <w:semiHidden/>
    <w:unhideWhenUsed/>
    <w:rsid w:val="0015363C"/>
    <w:rPr>
      <w:b/>
      <w:bCs/>
    </w:rPr>
  </w:style>
  <w:style w:type="character" w:customStyle="1" w:styleId="CommentSubjectChar">
    <w:name w:val="Comment Subject Char"/>
    <w:basedOn w:val="CommentTextChar"/>
    <w:link w:val="CommentSubject"/>
    <w:uiPriority w:val="99"/>
    <w:semiHidden/>
    <w:rsid w:val="0015363C"/>
    <w:rPr>
      <w:b/>
      <w:bCs/>
      <w:sz w:val="20"/>
      <w:szCs w:val="20"/>
    </w:rPr>
  </w:style>
  <w:style w:type="paragraph" w:styleId="BalloonText">
    <w:name w:val="Balloon Text"/>
    <w:basedOn w:val="Normal"/>
    <w:link w:val="BalloonTextChar"/>
    <w:uiPriority w:val="99"/>
    <w:semiHidden/>
    <w:unhideWhenUsed/>
    <w:rsid w:val="00153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3C"/>
    <w:rPr>
      <w:rFonts w:ascii="Segoe UI" w:hAnsi="Segoe UI" w:cs="Segoe UI"/>
      <w:sz w:val="18"/>
      <w:szCs w:val="18"/>
    </w:rPr>
  </w:style>
  <w:style w:type="character" w:styleId="FollowedHyperlink">
    <w:name w:val="FollowedHyperlink"/>
    <w:basedOn w:val="DefaultParagraphFont"/>
    <w:uiPriority w:val="99"/>
    <w:semiHidden/>
    <w:unhideWhenUsed/>
    <w:rsid w:val="0015363C"/>
    <w:rPr>
      <w:color w:val="954F72" w:themeColor="followedHyperlink"/>
      <w:u w:val="single"/>
    </w:rPr>
  </w:style>
  <w:style w:type="paragraph" w:styleId="Header">
    <w:name w:val="header"/>
    <w:basedOn w:val="Normal"/>
    <w:link w:val="HeaderChar"/>
    <w:uiPriority w:val="99"/>
    <w:unhideWhenUsed/>
    <w:rsid w:val="0087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213"/>
  </w:style>
  <w:style w:type="paragraph" w:styleId="Footer">
    <w:name w:val="footer"/>
    <w:basedOn w:val="Normal"/>
    <w:link w:val="FooterChar"/>
    <w:uiPriority w:val="99"/>
    <w:unhideWhenUsed/>
    <w:rsid w:val="0087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718338">
      <w:bodyDiv w:val="1"/>
      <w:marLeft w:val="0"/>
      <w:marRight w:val="0"/>
      <w:marTop w:val="0"/>
      <w:marBottom w:val="0"/>
      <w:divBdr>
        <w:top w:val="none" w:sz="0" w:space="0" w:color="auto"/>
        <w:left w:val="none" w:sz="0" w:space="0" w:color="auto"/>
        <w:bottom w:val="none" w:sz="0" w:space="0" w:color="auto"/>
        <w:right w:val="none" w:sz="0" w:space="0" w:color="auto"/>
      </w:divBdr>
    </w:div>
    <w:div w:id="20677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footer" Target="footer1.xml"/><Relationship Id="rId18" Type="http://schemas.openxmlformats.org/officeDocument/2006/relationships/hyperlink" Target="mailto:dianew@LDAO.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gov.on.ca/eng/funding/1819/2018-19-sea-guidelines-en.pdf" TargetMode="External"/><Relationship Id="rId17" Type="http://schemas.openxmlformats.org/officeDocument/2006/relationships/hyperlink" Target="http://www.ldatschool.ca/annual-educators-institute/" TargetMode="External"/><Relationship Id="rId2" Type="http://schemas.openxmlformats.org/officeDocument/2006/relationships/styles" Target="styles.xml"/><Relationship Id="rId16" Type="http://schemas.openxmlformats.org/officeDocument/2006/relationships/hyperlink" Target="https://kidshelpphone.ca/article/cannabis-important-things-kno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teachableproject.org/" TargetMode="External"/><Relationship Id="rId5" Type="http://schemas.openxmlformats.org/officeDocument/2006/relationships/footnotes" Target="footnotes.xml"/><Relationship Id="rId15" Type="http://schemas.openxmlformats.org/officeDocument/2006/relationships/hyperlink" Target="https://smh-assist.ca/wp-content/uploads/WEB-Cannabis-Information-Document-SMHA-CAMH-ENGLISH.pdf" TargetMode="External"/><Relationship Id="rId10" Type="http://schemas.openxmlformats.org/officeDocument/2006/relationships/hyperlink" Target="http://www.paac-seac.ca/home/paac-on-seac-effective-practices-handbook-for-seac-members/section-3-seac-roles-and-responsibilities/3-1-annual-plan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gov.on.ca/eng/policyfunding/memos/" TargetMode="External"/><Relationship Id="rId14" Type="http://schemas.openxmlformats.org/officeDocument/2006/relationships/hyperlink" Target="http://www.edu.gov.on.ca/eng/healthyschools/cannabis-fact-shee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3</cp:revision>
  <dcterms:created xsi:type="dcterms:W3CDTF">2018-06-04T12:37:00Z</dcterms:created>
  <dcterms:modified xsi:type="dcterms:W3CDTF">2018-06-04T15:20:00Z</dcterms:modified>
</cp:coreProperties>
</file>