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E89" w:rsidRDefault="00401E89" w:rsidP="00401E89">
      <w:pPr>
        <w:pStyle w:val="Heading1"/>
      </w:pPr>
      <w:r>
        <w:t xml:space="preserve">K-12 </w:t>
      </w:r>
      <w:r w:rsidR="00453EF4" w:rsidRPr="00FE2DFE">
        <w:t>Education Standards Development Committee Key Messages</w:t>
      </w:r>
    </w:p>
    <w:p w:rsidR="00453EF4" w:rsidRDefault="00401E89" w:rsidP="00401E89">
      <w:pPr>
        <w:pStyle w:val="Heading1"/>
      </w:pPr>
      <w:r>
        <w:t>April 17-18, 2018</w:t>
      </w:r>
    </w:p>
    <w:p w:rsidR="00401E89" w:rsidRPr="00401E89" w:rsidRDefault="00401E89" w:rsidP="00401E89"/>
    <w:p w:rsidR="00453EF4" w:rsidRPr="00453EF4" w:rsidRDefault="00453EF4" w:rsidP="00453EF4">
      <w:pPr>
        <w:pStyle w:val="list0020paragraph"/>
        <w:numPr>
          <w:ilvl w:val="0"/>
          <w:numId w:val="1"/>
        </w:numPr>
        <w:spacing w:before="0" w:beforeAutospacing="0" w:after="0" w:afterAutospacing="0" w:line="280" w:lineRule="atLeast"/>
        <w:rPr>
          <w:rStyle w:val="list0020paragraphchar"/>
          <w:rFonts w:asciiTheme="minorHAnsi" w:hAnsiTheme="minorHAnsi" w:cstheme="minorHAnsi"/>
        </w:rPr>
      </w:pPr>
      <w:r w:rsidRPr="00453EF4">
        <w:rPr>
          <w:rStyle w:val="list0020paragraphchar"/>
          <w:rFonts w:asciiTheme="minorHAnsi" w:hAnsiTheme="minorHAnsi" w:cstheme="minorHAnsi"/>
        </w:rPr>
        <w:t>“The strength of the team is each individual member. The strength of each member is the team.” (Phil Jackson)</w:t>
      </w:r>
    </w:p>
    <w:p w:rsidR="00453EF4" w:rsidRPr="00453EF4" w:rsidRDefault="00453EF4" w:rsidP="00453EF4">
      <w:pPr>
        <w:pStyle w:val="list0020paragraph"/>
        <w:spacing w:before="0" w:beforeAutospacing="0" w:after="0" w:afterAutospacing="0" w:line="280" w:lineRule="atLeast"/>
        <w:ind w:left="360"/>
        <w:rPr>
          <w:rStyle w:val="list0020paragraphchar"/>
          <w:rFonts w:asciiTheme="minorHAnsi" w:hAnsiTheme="minorHAnsi" w:cstheme="minorHAnsi"/>
        </w:rPr>
      </w:pPr>
    </w:p>
    <w:p w:rsidR="00453EF4" w:rsidRPr="00453EF4" w:rsidRDefault="00453EF4" w:rsidP="00453EF4">
      <w:pPr>
        <w:pStyle w:val="list0020paragraph"/>
        <w:numPr>
          <w:ilvl w:val="0"/>
          <w:numId w:val="1"/>
        </w:numPr>
        <w:spacing w:before="0" w:beforeAutospacing="0" w:after="0" w:afterAutospacing="0" w:line="280" w:lineRule="atLeast"/>
        <w:rPr>
          <w:rStyle w:val="list0020paragraphchar"/>
          <w:rFonts w:asciiTheme="minorHAnsi" w:hAnsiTheme="minorHAnsi" w:cstheme="minorHAnsi"/>
        </w:rPr>
      </w:pPr>
      <w:r w:rsidRPr="00453EF4">
        <w:rPr>
          <w:rStyle w:val="list0020paragraphchar"/>
          <w:rFonts w:asciiTheme="minorHAnsi" w:hAnsiTheme="minorHAnsi" w:cstheme="minorHAnsi"/>
        </w:rPr>
        <w:t>As part of the April meeting, the K-12 Committee affirmed their shared consensus on the following group norms:</w:t>
      </w:r>
    </w:p>
    <w:p w:rsidR="00453EF4" w:rsidRPr="00FE2DFE" w:rsidRDefault="00453EF4" w:rsidP="00EF1BDE">
      <w:pPr>
        <w:pStyle w:val="ListParagraph"/>
        <w:numPr>
          <w:ilvl w:val="0"/>
          <w:numId w:val="8"/>
        </w:numPr>
      </w:pPr>
      <w:r w:rsidRPr="00FE2DFE">
        <w:t>Find choices that are win/win</w:t>
      </w:r>
      <w:bookmarkStart w:id="0" w:name="_GoBack"/>
      <w:bookmarkEnd w:id="0"/>
    </w:p>
    <w:p w:rsidR="00453EF4" w:rsidRPr="00FE2DFE" w:rsidRDefault="00453EF4" w:rsidP="00EF1BDE">
      <w:pPr>
        <w:pStyle w:val="ListParagraph"/>
        <w:numPr>
          <w:ilvl w:val="0"/>
          <w:numId w:val="8"/>
        </w:numPr>
      </w:pPr>
      <w:r w:rsidRPr="00FE2DFE">
        <w:t>Mutual Respect for all members</w:t>
      </w:r>
    </w:p>
    <w:p w:rsidR="00453EF4" w:rsidRPr="00FE2DFE" w:rsidRDefault="00453EF4" w:rsidP="00EF1BDE">
      <w:pPr>
        <w:pStyle w:val="ListParagraph"/>
        <w:numPr>
          <w:ilvl w:val="0"/>
          <w:numId w:val="8"/>
        </w:numPr>
      </w:pPr>
      <w:r w:rsidRPr="00FE2DFE">
        <w:t>Openness and Flexibility</w:t>
      </w:r>
    </w:p>
    <w:p w:rsidR="00453EF4" w:rsidRPr="00FE2DFE" w:rsidRDefault="00453EF4" w:rsidP="00EF1BDE">
      <w:pPr>
        <w:pStyle w:val="ListParagraph"/>
        <w:numPr>
          <w:ilvl w:val="0"/>
          <w:numId w:val="8"/>
        </w:numPr>
      </w:pPr>
      <w:r w:rsidRPr="00FE2DFE">
        <w:t>Evidence-Based Approach to Committee work</w:t>
      </w:r>
    </w:p>
    <w:p w:rsidR="00453EF4" w:rsidRDefault="00453EF4" w:rsidP="00EF1BDE">
      <w:pPr>
        <w:pStyle w:val="ListParagraph"/>
        <w:numPr>
          <w:ilvl w:val="0"/>
          <w:numId w:val="8"/>
        </w:numPr>
      </w:pPr>
      <w:r w:rsidRPr="00FE2DFE">
        <w:t>Shared Ownership of Process and Results</w:t>
      </w:r>
    </w:p>
    <w:p w:rsidR="00EF1BDE" w:rsidRPr="00FE2DFE" w:rsidRDefault="00EF1BDE" w:rsidP="00EF1BDE">
      <w:pPr>
        <w:pStyle w:val="ListParagraph"/>
        <w:ind w:left="1080"/>
      </w:pPr>
    </w:p>
    <w:p w:rsidR="00453EF4" w:rsidRDefault="00453EF4" w:rsidP="00453EF4">
      <w:pPr>
        <w:pStyle w:val="ListParagraph"/>
        <w:numPr>
          <w:ilvl w:val="0"/>
          <w:numId w:val="5"/>
        </w:numPr>
        <w:spacing w:before="100" w:beforeAutospacing="1" w:after="100" w:afterAutospacing="1"/>
        <w:rPr>
          <w:rFonts w:cstheme="minorHAnsi"/>
          <w:color w:val="000000"/>
          <w:szCs w:val="24"/>
        </w:rPr>
      </w:pPr>
      <w:r w:rsidRPr="00453EF4">
        <w:rPr>
          <w:rFonts w:cstheme="minorHAnsi"/>
          <w:color w:val="000000"/>
          <w:szCs w:val="24"/>
        </w:rPr>
        <w:t>The Committee appreciated hearing from the Minister of Education, the Honourable Indira Naidoo-Harris, who emphasized the importance of creating an inclusive and equitable education system for all students to have a chance to learn and reach their full potential.</w:t>
      </w:r>
    </w:p>
    <w:p w:rsidR="00453EF4" w:rsidRPr="00453EF4" w:rsidRDefault="00453EF4" w:rsidP="00453EF4">
      <w:pPr>
        <w:pStyle w:val="ListParagraph"/>
        <w:spacing w:before="100" w:beforeAutospacing="1" w:after="100" w:afterAutospacing="1"/>
        <w:ind w:left="360"/>
        <w:rPr>
          <w:rFonts w:cstheme="minorHAnsi"/>
          <w:color w:val="000000"/>
          <w:szCs w:val="24"/>
        </w:rPr>
      </w:pPr>
    </w:p>
    <w:p w:rsidR="00453EF4" w:rsidRDefault="00453EF4" w:rsidP="00453EF4">
      <w:pPr>
        <w:pStyle w:val="ListParagraph"/>
        <w:numPr>
          <w:ilvl w:val="0"/>
          <w:numId w:val="5"/>
        </w:numPr>
        <w:spacing w:before="100" w:beforeAutospacing="1" w:after="100" w:afterAutospacing="1"/>
        <w:rPr>
          <w:rFonts w:cstheme="minorHAnsi"/>
          <w:color w:val="000000"/>
          <w:szCs w:val="24"/>
        </w:rPr>
      </w:pPr>
      <w:r w:rsidRPr="00453EF4">
        <w:rPr>
          <w:rFonts w:cstheme="minorHAnsi"/>
          <w:color w:val="000000"/>
          <w:szCs w:val="24"/>
        </w:rPr>
        <w:t>The Committee also appreciated the opportunity to incorporate the voices of youth and the We Have Something to Say Report shared by the Office of the Ontario Child Advocate, and to better understand the role of a disability justice approach and framing barriers to accessibility in terms of rights.</w:t>
      </w:r>
    </w:p>
    <w:p w:rsidR="00453EF4" w:rsidRPr="00453EF4" w:rsidRDefault="00453EF4" w:rsidP="00453EF4">
      <w:pPr>
        <w:pStyle w:val="ListParagraph"/>
        <w:rPr>
          <w:rFonts w:cstheme="minorHAnsi"/>
          <w:color w:val="000000"/>
          <w:szCs w:val="24"/>
        </w:rPr>
      </w:pPr>
    </w:p>
    <w:p w:rsidR="00453EF4" w:rsidRDefault="00453EF4" w:rsidP="00453EF4">
      <w:pPr>
        <w:pStyle w:val="ListParagraph"/>
        <w:numPr>
          <w:ilvl w:val="0"/>
          <w:numId w:val="5"/>
        </w:numPr>
        <w:spacing w:before="100" w:beforeAutospacing="1" w:after="100" w:afterAutospacing="1"/>
        <w:rPr>
          <w:rFonts w:cstheme="minorHAnsi"/>
          <w:color w:val="000000"/>
          <w:szCs w:val="24"/>
        </w:rPr>
      </w:pPr>
      <w:r w:rsidRPr="00453EF4">
        <w:rPr>
          <w:rFonts w:cstheme="minorHAnsi"/>
          <w:color w:val="000000"/>
          <w:szCs w:val="24"/>
        </w:rPr>
        <w:t>The Committee continues to identify barriers facing students with disabilities, and agreed that there are a range of barriers still to be explored and discussed.</w:t>
      </w:r>
    </w:p>
    <w:p w:rsidR="00453EF4" w:rsidRPr="00453EF4" w:rsidRDefault="00453EF4" w:rsidP="00453EF4">
      <w:pPr>
        <w:pStyle w:val="ListParagraph"/>
        <w:rPr>
          <w:rFonts w:cstheme="minorHAnsi"/>
          <w:color w:val="000000"/>
          <w:szCs w:val="24"/>
        </w:rPr>
      </w:pPr>
    </w:p>
    <w:p w:rsidR="00453EF4" w:rsidRDefault="00453EF4" w:rsidP="00453EF4">
      <w:pPr>
        <w:pStyle w:val="ListParagraph"/>
        <w:numPr>
          <w:ilvl w:val="0"/>
          <w:numId w:val="5"/>
        </w:numPr>
        <w:spacing w:before="100" w:beforeAutospacing="1" w:after="100" w:afterAutospacing="1"/>
        <w:rPr>
          <w:rFonts w:cstheme="minorHAnsi"/>
          <w:color w:val="000000"/>
          <w:szCs w:val="24"/>
        </w:rPr>
      </w:pPr>
      <w:r w:rsidRPr="00453EF4">
        <w:rPr>
          <w:rFonts w:cstheme="minorHAnsi"/>
          <w:color w:val="000000"/>
          <w:szCs w:val="24"/>
        </w:rPr>
        <w:t>The Committee collaborated on developing a shared vision for an accessible-student centred education system which would include a seamless model for transition planning.</w:t>
      </w:r>
    </w:p>
    <w:p w:rsidR="00453EF4" w:rsidRPr="00453EF4" w:rsidRDefault="00453EF4" w:rsidP="00453EF4">
      <w:pPr>
        <w:pStyle w:val="ListParagraph"/>
        <w:rPr>
          <w:rFonts w:cstheme="minorHAnsi"/>
          <w:color w:val="000000"/>
          <w:szCs w:val="24"/>
        </w:rPr>
      </w:pPr>
    </w:p>
    <w:p w:rsidR="00453EF4" w:rsidRDefault="00453EF4" w:rsidP="00453EF4">
      <w:pPr>
        <w:pStyle w:val="ListParagraph"/>
        <w:numPr>
          <w:ilvl w:val="0"/>
          <w:numId w:val="5"/>
        </w:numPr>
        <w:spacing w:before="100" w:beforeAutospacing="1" w:after="100" w:afterAutospacing="1"/>
        <w:rPr>
          <w:rFonts w:cstheme="minorHAnsi"/>
          <w:color w:val="000000"/>
          <w:szCs w:val="24"/>
        </w:rPr>
      </w:pPr>
      <w:r w:rsidRPr="00453EF4">
        <w:rPr>
          <w:rFonts w:cstheme="minorHAnsi"/>
          <w:color w:val="000000"/>
          <w:szCs w:val="24"/>
        </w:rPr>
        <w:t>Key themes for the meeting were a focus on equity and inclusion, cent</w:t>
      </w:r>
      <w:r w:rsidR="00550BE8">
        <w:rPr>
          <w:rFonts w:cstheme="minorHAnsi"/>
          <w:color w:val="000000"/>
          <w:szCs w:val="24"/>
        </w:rPr>
        <w:t>e</w:t>
      </w:r>
      <w:r w:rsidRPr="00453EF4">
        <w:rPr>
          <w:rFonts w:cstheme="minorHAnsi"/>
          <w:color w:val="000000"/>
          <w:szCs w:val="24"/>
        </w:rPr>
        <w:t xml:space="preserve">ring student voices, and considering the </w:t>
      </w:r>
      <w:r w:rsidR="00550BE8" w:rsidRPr="00453EF4">
        <w:rPr>
          <w:rFonts w:cstheme="minorHAnsi"/>
          <w:color w:val="000000"/>
          <w:szCs w:val="24"/>
        </w:rPr>
        <w:t>inters</w:t>
      </w:r>
      <w:r w:rsidR="00550BE8">
        <w:rPr>
          <w:rFonts w:cstheme="minorHAnsi"/>
          <w:color w:val="000000"/>
          <w:szCs w:val="24"/>
        </w:rPr>
        <w:t>e</w:t>
      </w:r>
      <w:r w:rsidR="00550BE8" w:rsidRPr="00453EF4">
        <w:rPr>
          <w:rFonts w:cstheme="minorHAnsi"/>
          <w:color w:val="000000"/>
          <w:szCs w:val="24"/>
        </w:rPr>
        <w:t>ctionality</w:t>
      </w:r>
      <w:r w:rsidRPr="00453EF4">
        <w:rPr>
          <w:rFonts w:cstheme="minorHAnsi"/>
          <w:color w:val="000000"/>
          <w:szCs w:val="24"/>
        </w:rPr>
        <w:t xml:space="preserve"> of disability. Every student matters.</w:t>
      </w:r>
    </w:p>
    <w:p w:rsidR="00453EF4" w:rsidRPr="00453EF4" w:rsidRDefault="00453EF4" w:rsidP="00453EF4">
      <w:pPr>
        <w:pStyle w:val="ListParagraph"/>
        <w:rPr>
          <w:rFonts w:cstheme="minorHAnsi"/>
          <w:color w:val="000000"/>
          <w:szCs w:val="24"/>
        </w:rPr>
      </w:pPr>
    </w:p>
    <w:p w:rsidR="00453EF4" w:rsidRDefault="00453EF4" w:rsidP="00453EF4">
      <w:pPr>
        <w:pStyle w:val="ListParagraph"/>
        <w:numPr>
          <w:ilvl w:val="0"/>
          <w:numId w:val="5"/>
        </w:numPr>
        <w:spacing w:before="100" w:beforeAutospacing="1" w:after="100" w:afterAutospacing="1"/>
        <w:rPr>
          <w:rFonts w:cstheme="minorHAnsi"/>
          <w:color w:val="000000"/>
          <w:szCs w:val="24"/>
        </w:rPr>
      </w:pPr>
      <w:r w:rsidRPr="00453EF4">
        <w:rPr>
          <w:rFonts w:cstheme="minorHAnsi"/>
          <w:color w:val="000000"/>
          <w:szCs w:val="24"/>
        </w:rPr>
        <w:t>The Committee recognized that students don’t learn in isolation, but in relation to a broad community. Lived experience of educators, staff, and a broad range of student support services must be considered throughout.</w:t>
      </w:r>
    </w:p>
    <w:p w:rsidR="00550BE8" w:rsidRPr="00550BE8" w:rsidRDefault="00550BE8" w:rsidP="00550BE8">
      <w:pPr>
        <w:pStyle w:val="ListParagraph"/>
        <w:rPr>
          <w:rFonts w:cstheme="minorHAnsi"/>
          <w:color w:val="000000"/>
          <w:szCs w:val="24"/>
        </w:rPr>
      </w:pPr>
    </w:p>
    <w:p w:rsidR="00453EF4" w:rsidRDefault="00453EF4" w:rsidP="00453EF4">
      <w:pPr>
        <w:pStyle w:val="ListParagraph"/>
        <w:numPr>
          <w:ilvl w:val="0"/>
          <w:numId w:val="5"/>
        </w:numPr>
        <w:spacing w:before="100" w:beforeAutospacing="1" w:after="100" w:afterAutospacing="1"/>
        <w:rPr>
          <w:rFonts w:cstheme="minorHAnsi"/>
          <w:color w:val="000000"/>
          <w:szCs w:val="24"/>
        </w:rPr>
      </w:pPr>
      <w:r w:rsidRPr="00453EF4">
        <w:rPr>
          <w:rFonts w:cstheme="minorHAnsi"/>
          <w:color w:val="000000"/>
          <w:szCs w:val="24"/>
        </w:rPr>
        <w:lastRenderedPageBreak/>
        <w:t>The Committee acknowledged that barriers to accessibility can be exacerbated by capacity and resource challenges, particularly for northern and rural boards as well as Francophone boards who face challenges providing French-language services.</w:t>
      </w:r>
    </w:p>
    <w:p w:rsidR="00453EF4" w:rsidRPr="00453EF4" w:rsidRDefault="00453EF4" w:rsidP="00453EF4">
      <w:pPr>
        <w:pStyle w:val="ListParagraph"/>
        <w:rPr>
          <w:rFonts w:cstheme="minorHAnsi"/>
          <w:color w:val="000000"/>
          <w:szCs w:val="24"/>
        </w:rPr>
      </w:pPr>
    </w:p>
    <w:p w:rsidR="00453EF4" w:rsidRDefault="00550BE8" w:rsidP="00453EF4">
      <w:pPr>
        <w:pStyle w:val="ListParagraph"/>
        <w:numPr>
          <w:ilvl w:val="0"/>
          <w:numId w:val="5"/>
        </w:numPr>
        <w:spacing w:before="100" w:beforeAutospacing="1" w:after="100" w:afterAutospacing="1"/>
        <w:rPr>
          <w:rFonts w:cstheme="minorHAnsi"/>
          <w:color w:val="000000"/>
          <w:szCs w:val="24"/>
        </w:rPr>
      </w:pPr>
      <w:r>
        <w:rPr>
          <w:rFonts w:cstheme="minorHAnsi"/>
          <w:color w:val="000000"/>
          <w:szCs w:val="24"/>
        </w:rPr>
        <w:t xml:space="preserve">The </w:t>
      </w:r>
      <w:r w:rsidR="00453EF4" w:rsidRPr="00453EF4">
        <w:rPr>
          <w:rFonts w:cstheme="minorHAnsi"/>
          <w:color w:val="000000"/>
          <w:szCs w:val="24"/>
        </w:rPr>
        <w:t xml:space="preserve">Committee appreciates </w:t>
      </w:r>
      <w:r>
        <w:rPr>
          <w:rFonts w:cstheme="minorHAnsi"/>
          <w:color w:val="000000"/>
          <w:szCs w:val="24"/>
        </w:rPr>
        <w:t xml:space="preserve">the </w:t>
      </w:r>
      <w:r w:rsidR="00453EF4" w:rsidRPr="00453EF4">
        <w:rPr>
          <w:rFonts w:cstheme="minorHAnsi"/>
          <w:color w:val="000000"/>
          <w:szCs w:val="24"/>
        </w:rPr>
        <w:t>Ministry of Education sharing information and insights about K-12 education in Ontario.  The Committee acknowledges the role of current accessibility standards and current Education framework, as well as challenges and implementation issues.</w:t>
      </w:r>
    </w:p>
    <w:p w:rsidR="00453EF4" w:rsidRPr="00453EF4" w:rsidRDefault="00453EF4" w:rsidP="00453EF4">
      <w:pPr>
        <w:pStyle w:val="ListParagraph"/>
        <w:rPr>
          <w:rFonts w:cstheme="minorHAnsi"/>
          <w:color w:val="000000"/>
          <w:szCs w:val="24"/>
        </w:rPr>
      </w:pPr>
    </w:p>
    <w:p w:rsidR="00453EF4" w:rsidRPr="00453EF4" w:rsidRDefault="00453EF4" w:rsidP="00453EF4">
      <w:pPr>
        <w:pStyle w:val="ListParagraph"/>
        <w:numPr>
          <w:ilvl w:val="0"/>
          <w:numId w:val="5"/>
        </w:numPr>
        <w:spacing w:before="100" w:beforeAutospacing="1" w:after="100" w:afterAutospacing="1"/>
        <w:rPr>
          <w:rFonts w:cstheme="minorHAnsi"/>
          <w:color w:val="000000"/>
          <w:szCs w:val="24"/>
        </w:rPr>
      </w:pPr>
      <w:r w:rsidRPr="00453EF4">
        <w:rPr>
          <w:rFonts w:cstheme="minorHAnsi"/>
          <w:color w:val="000000"/>
          <w:szCs w:val="24"/>
        </w:rPr>
        <w:t>Looking ahead, the Committee is committed to:</w:t>
      </w:r>
    </w:p>
    <w:p w:rsidR="00453EF4" w:rsidRPr="00EF1BDE" w:rsidRDefault="00453EF4" w:rsidP="00EF1BDE">
      <w:pPr>
        <w:pStyle w:val="ListParagraph"/>
        <w:numPr>
          <w:ilvl w:val="0"/>
          <w:numId w:val="7"/>
        </w:numPr>
        <w:rPr>
          <w:b/>
        </w:rPr>
      </w:pPr>
      <w:r w:rsidRPr="00550BE8">
        <w:t>Working towards accessibility in a way that includes all students with disabilities</w:t>
      </w:r>
    </w:p>
    <w:p w:rsidR="00453EF4" w:rsidRPr="00EF1BDE" w:rsidRDefault="00453EF4" w:rsidP="00EF1BDE">
      <w:pPr>
        <w:pStyle w:val="ListParagraph"/>
        <w:numPr>
          <w:ilvl w:val="0"/>
          <w:numId w:val="7"/>
        </w:numPr>
        <w:rPr>
          <w:b/>
        </w:rPr>
      </w:pPr>
      <w:r w:rsidRPr="00550BE8">
        <w:t>Focusing on evidence and research-based approaches</w:t>
      </w:r>
    </w:p>
    <w:p w:rsidR="00453EF4" w:rsidRPr="00EF1BDE" w:rsidRDefault="00453EF4" w:rsidP="00EF1BDE">
      <w:pPr>
        <w:pStyle w:val="ListParagraph"/>
        <w:numPr>
          <w:ilvl w:val="0"/>
          <w:numId w:val="7"/>
        </w:numPr>
        <w:rPr>
          <w:b/>
        </w:rPr>
      </w:pPr>
      <w:r w:rsidRPr="00550BE8">
        <w:t>Referring back to Committee guiding principles throughout their work</w:t>
      </w:r>
    </w:p>
    <w:p w:rsidR="00EF1BDE" w:rsidRPr="00EF1BDE" w:rsidRDefault="00EF1BDE" w:rsidP="00EF1BDE">
      <w:pPr>
        <w:pStyle w:val="ListParagraph"/>
        <w:rPr>
          <w:b/>
        </w:rPr>
      </w:pPr>
    </w:p>
    <w:p w:rsidR="00453EF4" w:rsidRPr="00453EF4" w:rsidRDefault="00453EF4" w:rsidP="00453EF4">
      <w:pPr>
        <w:pStyle w:val="ListParagraph"/>
        <w:numPr>
          <w:ilvl w:val="0"/>
          <w:numId w:val="6"/>
        </w:numPr>
        <w:spacing w:before="100" w:beforeAutospacing="1" w:after="100" w:afterAutospacing="1"/>
        <w:rPr>
          <w:rFonts w:cstheme="minorHAnsi"/>
          <w:color w:val="000000"/>
          <w:szCs w:val="24"/>
        </w:rPr>
      </w:pPr>
      <w:r w:rsidRPr="00453EF4">
        <w:rPr>
          <w:rFonts w:cstheme="minorHAnsi"/>
          <w:color w:val="000000"/>
          <w:szCs w:val="24"/>
        </w:rPr>
        <w:t xml:space="preserve">“Unity is strength. When there is teamwork and collaboration, wonderful things can be achieved.” (Mattie </w:t>
      </w:r>
      <w:proofErr w:type="spellStart"/>
      <w:r w:rsidRPr="00453EF4">
        <w:rPr>
          <w:rFonts w:cstheme="minorHAnsi"/>
          <w:color w:val="000000"/>
          <w:szCs w:val="24"/>
        </w:rPr>
        <w:t>Stepanek</w:t>
      </w:r>
      <w:proofErr w:type="spellEnd"/>
      <w:r w:rsidRPr="00453EF4">
        <w:rPr>
          <w:rFonts w:cstheme="minorHAnsi"/>
          <w:color w:val="000000"/>
          <w:szCs w:val="24"/>
        </w:rPr>
        <w:t xml:space="preserve">) </w:t>
      </w:r>
    </w:p>
    <w:p w:rsidR="00453EF4" w:rsidRPr="00453EF4" w:rsidRDefault="00453EF4" w:rsidP="00453EF4">
      <w:pPr>
        <w:rPr>
          <w:rFonts w:cstheme="minorHAnsi"/>
          <w:b/>
          <w:szCs w:val="24"/>
        </w:rPr>
      </w:pPr>
    </w:p>
    <w:sectPr w:rsidR="00453EF4" w:rsidRPr="00453EF4">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EF4" w:rsidRDefault="00453EF4" w:rsidP="00F72078">
      <w:pPr>
        <w:spacing w:after="0" w:line="240" w:lineRule="auto"/>
      </w:pPr>
      <w:r>
        <w:separator/>
      </w:r>
    </w:p>
  </w:endnote>
  <w:endnote w:type="continuationSeparator" w:id="0">
    <w:p w:rsidR="00453EF4" w:rsidRDefault="00453EF4"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406433"/>
      <w:docPartObj>
        <w:docPartGallery w:val="Page Numbers (Bottom of Page)"/>
        <w:docPartUnique/>
      </w:docPartObj>
    </w:sdtPr>
    <w:sdtEndPr>
      <w:rPr>
        <w:noProof/>
      </w:rPr>
    </w:sdtEndPr>
    <w:sdtContent>
      <w:p w:rsidR="006F0AD9" w:rsidRDefault="006F0AD9">
        <w:pPr>
          <w:pStyle w:val="Footer"/>
          <w:jc w:val="right"/>
        </w:pPr>
        <w:r>
          <w:fldChar w:fldCharType="begin"/>
        </w:r>
        <w:r>
          <w:instrText xml:space="preserve"> PAGE   \* MERGEFORMAT </w:instrText>
        </w:r>
        <w:r>
          <w:fldChar w:fldCharType="separate"/>
        </w:r>
        <w:r w:rsidR="00EF1BDE">
          <w:rPr>
            <w:noProof/>
          </w:rPr>
          <w:t>2</w:t>
        </w:r>
        <w:r>
          <w:rPr>
            <w:noProof/>
          </w:rPr>
          <w:fldChar w:fldCharType="end"/>
        </w:r>
      </w:p>
    </w:sdtContent>
  </w:sdt>
  <w:p w:rsidR="00550BE8" w:rsidRDefault="00550BE8" w:rsidP="006F0AD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EF4" w:rsidRDefault="00453EF4" w:rsidP="00F72078">
      <w:pPr>
        <w:spacing w:after="0" w:line="240" w:lineRule="auto"/>
      </w:pPr>
      <w:r>
        <w:separator/>
      </w:r>
    </w:p>
  </w:footnote>
  <w:footnote w:type="continuationSeparator" w:id="0">
    <w:p w:rsidR="00453EF4" w:rsidRDefault="00453EF4" w:rsidP="00F720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5627"/>
    <w:multiLevelType w:val="hybridMultilevel"/>
    <w:tmpl w:val="D8F495C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1C6740E0"/>
    <w:multiLevelType w:val="hybridMultilevel"/>
    <w:tmpl w:val="35DE0FA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3A726D78"/>
    <w:multiLevelType w:val="hybridMultilevel"/>
    <w:tmpl w:val="CED0841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3D5B1475"/>
    <w:multiLevelType w:val="hybridMultilevel"/>
    <w:tmpl w:val="D5664F9E"/>
    <w:lvl w:ilvl="0" w:tplc="A5FADDD6">
      <w:start w:val="1"/>
      <w:numFmt w:val="decimal"/>
      <w:lvlText w:val="%1."/>
      <w:lvlJc w:val="left"/>
      <w:pPr>
        <w:ind w:left="960" w:hanging="60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4D5713D"/>
    <w:multiLevelType w:val="hybridMultilevel"/>
    <w:tmpl w:val="FB9C212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56420C1"/>
    <w:multiLevelType w:val="hybridMultilevel"/>
    <w:tmpl w:val="75408F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8B93DB8"/>
    <w:multiLevelType w:val="hybridMultilevel"/>
    <w:tmpl w:val="7CD2E0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A4D630E"/>
    <w:multiLevelType w:val="hybridMultilevel"/>
    <w:tmpl w:val="972E33B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B5A7877"/>
    <w:multiLevelType w:val="hybridMultilevel"/>
    <w:tmpl w:val="CC4863CA"/>
    <w:lvl w:ilvl="0" w:tplc="10090001">
      <w:start w:val="1"/>
      <w:numFmt w:val="bullet"/>
      <w:lvlText w:val=""/>
      <w:lvlJc w:val="left"/>
      <w:pPr>
        <w:ind w:left="360" w:hanging="360"/>
      </w:pPr>
      <w:rPr>
        <w:rFonts w:ascii="Symbol" w:hAnsi="Symbol" w:hint="default"/>
      </w:rPr>
    </w:lvl>
    <w:lvl w:ilvl="1" w:tplc="90C44C5E">
      <w:numFmt w:val="bullet"/>
      <w:lvlText w:val="·"/>
      <w:lvlJc w:val="left"/>
      <w:pPr>
        <w:ind w:left="1080" w:hanging="360"/>
      </w:pPr>
      <w:rPr>
        <w:rFonts w:ascii="Arial" w:eastAsiaTheme="minorHAnsi" w:hAnsi="Arial"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1"/>
  </w:num>
  <w:num w:numId="4">
    <w:abstractNumId w:val="4"/>
  </w:num>
  <w:num w:numId="5">
    <w:abstractNumId w:val="6"/>
  </w:num>
  <w:num w:numId="6">
    <w:abstractNumId w:val="5"/>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EF4"/>
    <w:rsid w:val="000A0119"/>
    <w:rsid w:val="001C37B4"/>
    <w:rsid w:val="001F129E"/>
    <w:rsid w:val="00225BE4"/>
    <w:rsid w:val="002E6FF6"/>
    <w:rsid w:val="00317F1F"/>
    <w:rsid w:val="0036413B"/>
    <w:rsid w:val="00401E89"/>
    <w:rsid w:val="00404C1A"/>
    <w:rsid w:val="00453EF4"/>
    <w:rsid w:val="00487378"/>
    <w:rsid w:val="004A2238"/>
    <w:rsid w:val="004A392D"/>
    <w:rsid w:val="004B347D"/>
    <w:rsid w:val="004B69F7"/>
    <w:rsid w:val="004F1B03"/>
    <w:rsid w:val="004F20C3"/>
    <w:rsid w:val="00550BE8"/>
    <w:rsid w:val="0057735C"/>
    <w:rsid w:val="00624B02"/>
    <w:rsid w:val="00695E04"/>
    <w:rsid w:val="006C7751"/>
    <w:rsid w:val="006D72AA"/>
    <w:rsid w:val="006F0AD9"/>
    <w:rsid w:val="00767151"/>
    <w:rsid w:val="007707B1"/>
    <w:rsid w:val="00794C32"/>
    <w:rsid w:val="007D6DDD"/>
    <w:rsid w:val="009B1D63"/>
    <w:rsid w:val="009B65DE"/>
    <w:rsid w:val="00A4736E"/>
    <w:rsid w:val="00A963FC"/>
    <w:rsid w:val="00AD71CE"/>
    <w:rsid w:val="00B93223"/>
    <w:rsid w:val="00C029AC"/>
    <w:rsid w:val="00C442F5"/>
    <w:rsid w:val="00C93AB7"/>
    <w:rsid w:val="00CC034D"/>
    <w:rsid w:val="00D23768"/>
    <w:rsid w:val="00D83F89"/>
    <w:rsid w:val="00EF1BDE"/>
    <w:rsid w:val="00F17B57"/>
    <w:rsid w:val="00F61F85"/>
    <w:rsid w:val="00F72078"/>
    <w:rsid w:val="00F85186"/>
    <w:rsid w:val="00FA62DB"/>
    <w:rsid w:val="00FB11EB"/>
    <w:rsid w:val="00FE2DFE"/>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FE2DFE"/>
    <w:pPr>
      <w:jc w:val="center"/>
      <w:outlineLvl w:val="0"/>
    </w:pPr>
    <w:rPr>
      <w:b/>
    </w:rPr>
  </w:style>
  <w:style w:type="paragraph" w:styleId="Heading2">
    <w:name w:val="heading 2"/>
    <w:basedOn w:val="Normal1"/>
    <w:next w:val="Normal"/>
    <w:link w:val="Heading2Char"/>
    <w:uiPriority w:val="9"/>
    <w:unhideWhenUsed/>
    <w:qFormat/>
    <w:rsid w:val="00FE2DFE"/>
    <w:pPr>
      <w:spacing w:before="0" w:beforeAutospacing="0" w:after="0" w:afterAutospacing="0" w:line="240" w:lineRule="atLeast"/>
      <w:outlineLvl w:val="1"/>
    </w:pPr>
    <w:rPr>
      <w:rFonts w:asciiTheme="minorHAnsi" w:hAnsiTheme="minorHAnsi" w:cstheme="minorHAnsi"/>
      <w:b/>
      <w:bCs/>
      <w:color w:val="000000"/>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DFE"/>
    <w:rPr>
      <w:b/>
      <w:sz w:val="24"/>
    </w:rPr>
  </w:style>
  <w:style w:type="character" w:customStyle="1" w:styleId="Heading2Char">
    <w:name w:val="Heading 2 Char"/>
    <w:basedOn w:val="DefaultParagraphFont"/>
    <w:link w:val="Heading2"/>
    <w:uiPriority w:val="9"/>
    <w:rsid w:val="00FE2DFE"/>
    <w:rPr>
      <w:rFonts w:cstheme="minorHAnsi"/>
      <w:b/>
      <w:bCs/>
      <w:color w:val="000000"/>
      <w:sz w:val="24"/>
      <w:szCs w:val="24"/>
      <w:lang w:eastAsia="en-CA"/>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customStyle="1" w:styleId="Normal1">
    <w:name w:val="Normal1"/>
    <w:basedOn w:val="Normal"/>
    <w:rsid w:val="00453EF4"/>
    <w:pPr>
      <w:spacing w:before="100" w:beforeAutospacing="1" w:after="100" w:afterAutospacing="1" w:line="240" w:lineRule="auto"/>
    </w:pPr>
    <w:rPr>
      <w:rFonts w:ascii="Times New Roman" w:hAnsi="Times New Roman" w:cs="Times New Roman"/>
      <w:szCs w:val="24"/>
      <w:lang w:eastAsia="en-CA"/>
    </w:rPr>
  </w:style>
  <w:style w:type="paragraph" w:customStyle="1" w:styleId="list0020paragraph">
    <w:name w:val="list0020paragraph"/>
    <w:basedOn w:val="Normal"/>
    <w:rsid w:val="00453EF4"/>
    <w:pPr>
      <w:spacing w:before="100" w:beforeAutospacing="1" w:after="100" w:afterAutospacing="1" w:line="240" w:lineRule="auto"/>
    </w:pPr>
    <w:rPr>
      <w:rFonts w:ascii="Times New Roman" w:hAnsi="Times New Roman" w:cs="Times New Roman"/>
      <w:szCs w:val="24"/>
      <w:lang w:eastAsia="en-CA"/>
    </w:rPr>
  </w:style>
  <w:style w:type="character" w:customStyle="1" w:styleId="list0020paragraphchar">
    <w:name w:val="list0020paragraphchar"/>
    <w:basedOn w:val="DefaultParagraphFont"/>
    <w:rsid w:val="00453E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FE2DFE"/>
    <w:pPr>
      <w:jc w:val="center"/>
      <w:outlineLvl w:val="0"/>
    </w:pPr>
    <w:rPr>
      <w:b/>
    </w:rPr>
  </w:style>
  <w:style w:type="paragraph" w:styleId="Heading2">
    <w:name w:val="heading 2"/>
    <w:basedOn w:val="Normal1"/>
    <w:next w:val="Normal"/>
    <w:link w:val="Heading2Char"/>
    <w:uiPriority w:val="9"/>
    <w:unhideWhenUsed/>
    <w:qFormat/>
    <w:rsid w:val="00FE2DFE"/>
    <w:pPr>
      <w:spacing w:before="0" w:beforeAutospacing="0" w:after="0" w:afterAutospacing="0" w:line="240" w:lineRule="atLeast"/>
      <w:outlineLvl w:val="1"/>
    </w:pPr>
    <w:rPr>
      <w:rFonts w:asciiTheme="minorHAnsi" w:hAnsiTheme="minorHAnsi" w:cstheme="minorHAnsi"/>
      <w:b/>
      <w:bCs/>
      <w:color w:val="000000"/>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DFE"/>
    <w:rPr>
      <w:b/>
      <w:sz w:val="24"/>
    </w:rPr>
  </w:style>
  <w:style w:type="character" w:customStyle="1" w:styleId="Heading2Char">
    <w:name w:val="Heading 2 Char"/>
    <w:basedOn w:val="DefaultParagraphFont"/>
    <w:link w:val="Heading2"/>
    <w:uiPriority w:val="9"/>
    <w:rsid w:val="00FE2DFE"/>
    <w:rPr>
      <w:rFonts w:cstheme="minorHAnsi"/>
      <w:b/>
      <w:bCs/>
      <w:color w:val="000000"/>
      <w:sz w:val="24"/>
      <w:szCs w:val="24"/>
      <w:lang w:eastAsia="en-CA"/>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customStyle="1" w:styleId="Normal1">
    <w:name w:val="Normal1"/>
    <w:basedOn w:val="Normal"/>
    <w:rsid w:val="00453EF4"/>
    <w:pPr>
      <w:spacing w:before="100" w:beforeAutospacing="1" w:after="100" w:afterAutospacing="1" w:line="240" w:lineRule="auto"/>
    </w:pPr>
    <w:rPr>
      <w:rFonts w:ascii="Times New Roman" w:hAnsi="Times New Roman" w:cs="Times New Roman"/>
      <w:szCs w:val="24"/>
      <w:lang w:eastAsia="en-CA"/>
    </w:rPr>
  </w:style>
  <w:style w:type="paragraph" w:customStyle="1" w:styleId="list0020paragraph">
    <w:name w:val="list0020paragraph"/>
    <w:basedOn w:val="Normal"/>
    <w:rsid w:val="00453EF4"/>
    <w:pPr>
      <w:spacing w:before="100" w:beforeAutospacing="1" w:after="100" w:afterAutospacing="1" w:line="240" w:lineRule="auto"/>
    </w:pPr>
    <w:rPr>
      <w:rFonts w:ascii="Times New Roman" w:hAnsi="Times New Roman" w:cs="Times New Roman"/>
      <w:szCs w:val="24"/>
      <w:lang w:eastAsia="en-CA"/>
    </w:rPr>
  </w:style>
  <w:style w:type="character" w:customStyle="1" w:styleId="list0020paragraphchar">
    <w:name w:val="list0020paragraphchar"/>
    <w:basedOn w:val="DefaultParagraphFont"/>
    <w:rsid w:val="00453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40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B1035-8CE5-4353-AA1A-38808EF9C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Fitzpatrick, Annlouise (MEDG/MRIS)</dc:creator>
  <cp:lastModifiedBy>Fitzpatrick, Annlouise (MEDG/MRIS)</cp:lastModifiedBy>
  <cp:revision>4</cp:revision>
  <cp:lastPrinted>2018-05-04T18:21:00Z</cp:lastPrinted>
  <dcterms:created xsi:type="dcterms:W3CDTF">2018-05-04T19:34:00Z</dcterms:created>
  <dcterms:modified xsi:type="dcterms:W3CDTF">2018-05-04T19:35:00Z</dcterms:modified>
</cp:coreProperties>
</file>