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E9B" w14:textId="77777777" w:rsidR="00E067AD" w:rsidRPr="00E067AD" w:rsidRDefault="00E067AD" w:rsidP="00E067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val="en-US" w:eastAsia="en-CA"/>
        </w:rPr>
        <w:t>From: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 Ministry of Education (EDU) &lt;</w:t>
      </w:r>
      <w:hyperlink r:id="rId4" w:tgtFrame="_blank" w:history="1">
        <w:r w:rsidRPr="00E067A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en-US" w:eastAsia="en-CA"/>
          </w:rPr>
          <w:t>MinistryofEducation@ontario.ca</w:t>
        </w:r>
      </w:hyperlink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&gt;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br/>
      </w:r>
      <w:r w:rsidRPr="00E067AD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val="en-US" w:eastAsia="en-CA"/>
        </w:rPr>
        <w:t>Sent: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 June 11, 2021 12:59 PM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br/>
      </w:r>
      <w:r w:rsidRPr="00E067AD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val="en-US" w:eastAsia="en-CA"/>
        </w:rPr>
        <w:t>To: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 Ministry of Education (EDU) &lt;</w:t>
      </w:r>
      <w:hyperlink r:id="rId5" w:tgtFrame="_blank" w:history="1">
        <w:r w:rsidRPr="00E067A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en-US" w:eastAsia="en-CA"/>
          </w:rPr>
          <w:t>MinistryofEducation@ontario.ca</w:t>
        </w:r>
      </w:hyperlink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&gt;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br/>
      </w:r>
      <w:r w:rsidRPr="00E067AD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val="en-US" w:eastAsia="en-CA"/>
        </w:rPr>
        <w:t>Subject:</w:t>
      </w:r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 Public Posting of the K-12 Education Standards Development Committee Initial Recommendations Report |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Affichage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public du Rapport des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recommandations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initiales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du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Comité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d’élaboration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des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normes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pour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l’éducation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de la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maternelle</w:t>
      </w:r>
      <w:proofErr w:type="spellEnd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 xml:space="preserve"> à la 12e </w:t>
      </w:r>
      <w:proofErr w:type="spellStart"/>
      <w:r w:rsidRPr="00E067AD">
        <w:rPr>
          <w:rFonts w:ascii="Calibri" w:eastAsia="Times New Roman" w:hAnsi="Calibri" w:cs="Calibri"/>
          <w:color w:val="201F1E"/>
          <w:bdr w:val="none" w:sz="0" w:space="0" w:color="auto" w:frame="1"/>
          <w:lang w:val="en-US" w:eastAsia="en-CA"/>
        </w:rPr>
        <w:t>année</w:t>
      </w:r>
      <w:proofErr w:type="spellEnd"/>
    </w:p>
    <w:p w14:paraId="5DA65E1D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ascii="Calibri" w:eastAsia="Times New Roman" w:hAnsi="Calibri" w:cs="Calibri"/>
          <w:color w:val="201F1E"/>
          <w:lang w:eastAsia="en-C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puty Memo subject"/>
      </w:tblPr>
      <w:tblGrid>
        <w:gridCol w:w="2903"/>
        <w:gridCol w:w="6457"/>
      </w:tblGrid>
      <w:tr w:rsidR="00E067AD" w:rsidRPr="00E067AD" w14:paraId="0E85255B" w14:textId="77777777" w:rsidTr="00E067AD">
        <w:trPr>
          <w:trHeight w:val="724"/>
          <w:tblHeader/>
        </w:trPr>
        <w:tc>
          <w:tcPr>
            <w:tcW w:w="2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5766" w14:textId="77777777" w:rsidR="00E067AD" w:rsidRPr="00E067AD" w:rsidRDefault="00E067AD" w:rsidP="00E067AD">
            <w:pPr>
              <w:spacing w:after="0" w:line="231" w:lineRule="atLeast"/>
              <w:ind w:right="432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b/>
                <w:bCs/>
                <w:color w:val="201F1E"/>
                <w:bdr w:val="none" w:sz="0" w:space="0" w:color="auto" w:frame="1"/>
                <w:lang w:eastAsia="en-CA"/>
              </w:rPr>
              <w:t>Memorandum to:</w:t>
            </w:r>
          </w:p>
        </w:tc>
        <w:tc>
          <w:tcPr>
            <w:tcW w:w="6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CE3A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Directors of Education</w:t>
            </w:r>
          </w:p>
          <w:p w14:paraId="6C426FAB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School Authorities</w:t>
            </w:r>
          </w:p>
          <w:p w14:paraId="4BC2E2D7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 </w:t>
            </w:r>
          </w:p>
        </w:tc>
      </w:tr>
      <w:tr w:rsidR="00E067AD" w:rsidRPr="00E067AD" w14:paraId="6FB184CB" w14:textId="77777777" w:rsidTr="00E067AD">
        <w:trPr>
          <w:trHeight w:val="724"/>
          <w:tblHeader/>
        </w:trPr>
        <w:tc>
          <w:tcPr>
            <w:tcW w:w="2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BFF8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b/>
                <w:bCs/>
                <w:color w:val="201F1E"/>
                <w:bdr w:val="none" w:sz="0" w:space="0" w:color="auto" w:frame="1"/>
                <w:lang w:eastAsia="en-CA"/>
              </w:rPr>
              <w:t>From:</w:t>
            </w:r>
          </w:p>
        </w:tc>
        <w:tc>
          <w:tcPr>
            <w:tcW w:w="6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5181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Nancy Naylor</w:t>
            </w:r>
          </w:p>
          <w:p w14:paraId="1756957C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Deputy Minister of Education</w:t>
            </w:r>
          </w:p>
        </w:tc>
      </w:tr>
      <w:tr w:rsidR="00E067AD" w:rsidRPr="00E067AD" w14:paraId="110EC4C5" w14:textId="77777777" w:rsidTr="00E067AD">
        <w:trPr>
          <w:tblHeader/>
        </w:trPr>
        <w:tc>
          <w:tcPr>
            <w:tcW w:w="2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5C48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b/>
                <w:bCs/>
                <w:color w:val="201F1E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6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E570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 </w:t>
            </w:r>
          </w:p>
        </w:tc>
      </w:tr>
      <w:tr w:rsidR="00E067AD" w:rsidRPr="00E067AD" w14:paraId="47249538" w14:textId="77777777" w:rsidTr="00E067AD">
        <w:trPr>
          <w:tblHeader/>
        </w:trPr>
        <w:tc>
          <w:tcPr>
            <w:tcW w:w="2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6D30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b/>
                <w:bCs/>
                <w:color w:val="201F1E"/>
                <w:bdr w:val="none" w:sz="0" w:space="0" w:color="auto" w:frame="1"/>
                <w:lang w:eastAsia="en-CA"/>
              </w:rPr>
              <w:t>Subject:</w:t>
            </w:r>
          </w:p>
        </w:tc>
        <w:tc>
          <w:tcPr>
            <w:tcW w:w="6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D069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Public Posting of the K-12 Education Standards Development Committee Initial Recommendations Report  </w:t>
            </w:r>
          </w:p>
          <w:p w14:paraId="63441D4A" w14:textId="77777777" w:rsidR="00E067AD" w:rsidRPr="00E067AD" w:rsidRDefault="00E067AD" w:rsidP="00E067AD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 </w:t>
            </w:r>
          </w:p>
        </w:tc>
      </w:tr>
    </w:tbl>
    <w:p w14:paraId="617D706A" w14:textId="77777777" w:rsidR="00E067AD" w:rsidRPr="00E067AD" w:rsidRDefault="00E067AD" w:rsidP="00E067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FFFFFF"/>
          <w:bdr w:val="none" w:sz="0" w:space="0" w:color="auto" w:frame="1"/>
          <w:lang w:eastAsia="en-CA"/>
        </w:rPr>
      </w:pPr>
      <w:r w:rsidRPr="00E067AD">
        <w:rPr>
          <w:rFonts w:eastAsia="Times New Roman"/>
          <w:color w:val="FFFFFF"/>
          <w:bdr w:val="none" w:sz="0" w:space="0" w:color="auto" w:frame="1"/>
          <w:lang w:eastAsia="en-CA"/>
        </w:rPr>
        <w:pict w14:anchorId="517A996A">
          <v:rect id="_x0000_i1025" style="width:468pt;height:.6pt" o:hralign="center" o:hrstd="t" o:hr="t" fillcolor="#a0a0a0" stroked="f"/>
        </w:pict>
      </w:r>
    </w:p>
    <w:p w14:paraId="244E8201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 </w:t>
      </w:r>
    </w:p>
    <w:p w14:paraId="72DE1EA0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I am writing to encourage participation in the public consultation on the K-12 Standards Development Committee’s (K-12 SDC) Initial Recommendations Report (Initial Report).</w:t>
      </w:r>
    </w:p>
    <w:p w14:paraId="4E49DE27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</w:t>
      </w:r>
    </w:p>
    <w:p w14:paraId="02DC6C18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In Ontario, the </w:t>
      </w:r>
      <w:r w:rsidRPr="00E067AD">
        <w:rPr>
          <w:rFonts w:eastAsia="Times New Roman"/>
          <w:i/>
          <w:iCs/>
          <w:color w:val="201F1E"/>
          <w:bdr w:val="none" w:sz="0" w:space="0" w:color="auto" w:frame="1"/>
          <w:lang w:val="en-US" w:eastAsia="en-CA"/>
        </w:rPr>
        <w:t>Accessibility for Ontarians with Disabilities Act</w:t>
      </w: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, 2005 (AODA) outlines the legislated process for the development of new accessibility standards through Standards Development Committees. These Committees are responsible for </w:t>
      </w: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developing and reviewing accessibility standards in Ontario. These accessibility standards help move Ontario forward on its journey to create a more accessible and inclusive province.</w:t>
      </w:r>
    </w:p>
    <w:p w14:paraId="5D2B73BD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</w:t>
      </w:r>
    </w:p>
    <w:p w14:paraId="6703FB24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The mandate of the K-12 Education SDC </w:t>
      </w: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is to provide recommendations to government on removing and preventing accessibility barriers in the publicly funded education system. </w:t>
      </w: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The Initial Report is the result of an extensive joint effort of Government-appointed representatives from the disability community and the education sector to identify the barriers that students with disabilities face and the measures needed to remove and prevent them.</w:t>
      </w: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 I am pleased to inform you that the Initial Report is now available for public comment through an online survey at the following link: </w:t>
      </w:r>
      <w:hyperlink r:id="rId6" w:anchor="section-2" w:tgtFrame="_blank" w:history="1">
        <w:r w:rsidRPr="00E067AD">
          <w:rPr>
            <w:rFonts w:eastAsia="Times New Roman"/>
            <w:color w:val="0070C0"/>
            <w:u w:val="single"/>
            <w:bdr w:val="none" w:sz="0" w:space="0" w:color="auto" w:frame="1"/>
            <w:lang w:val="en-US" w:eastAsia="en-CA"/>
          </w:rPr>
          <w:t>Consultation: Initial recommendations for the development of proposed Kindergarten to Grade 12 (K-12) education accessibility standards | Ontario.ca</w:t>
        </w:r>
      </w:hyperlink>
      <w:r w:rsidRPr="00E067AD">
        <w:rPr>
          <w:rFonts w:eastAsia="Times New Roman"/>
          <w:color w:val="0070C0"/>
          <w:bdr w:val="none" w:sz="0" w:space="0" w:color="auto" w:frame="1"/>
          <w:lang w:val="en-US" w:eastAsia="en-CA"/>
        </w:rPr>
        <w:t>.</w:t>
      </w:r>
    </w:p>
    <w:p w14:paraId="1EC690FC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bookmarkStart w:id="0" w:name="x__Hlk73029804"/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</w:t>
      </w:r>
      <w:bookmarkEnd w:id="0"/>
    </w:p>
    <w:p w14:paraId="42B4E585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 xml:space="preserve">As well, a Technical Sub-Committee – made up of members of the K-12 SDC and the committee working to develop a similar standard for the </w:t>
      </w:r>
      <w:proofErr w:type="gramStart"/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Post-secondary</w:t>
      </w:r>
      <w:proofErr w:type="gramEnd"/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 xml:space="preserve"> sector – has developed its recommendations on student transitions between different levels of the education sector, and between education and employment and the community. A link to this report is also found on the online survey web page.</w:t>
      </w:r>
    </w:p>
    <w:p w14:paraId="30D5EE38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</w:t>
      </w:r>
    </w:p>
    <w:p w14:paraId="1A209816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 xml:space="preserve">The consultation will elicit comments from the public ─including students, parents, </w:t>
      </w:r>
      <w:proofErr w:type="gramStart"/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school</w:t>
      </w:r>
      <w:proofErr w:type="gramEnd"/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 xml:space="preserve"> and school board staff</w:t>
      </w:r>
      <w:r w:rsidRPr="00E067AD">
        <w:rPr>
          <w:rFonts w:ascii="Symbol" w:eastAsia="Times New Roman" w:hAnsi="Symbol" w:cs="Calibri"/>
          <w:color w:val="201F1E"/>
          <w:bdr w:val="none" w:sz="0" w:space="0" w:color="auto" w:frame="1"/>
          <w:lang w:val="en-US" w:eastAsia="en-CA"/>
        </w:rPr>
        <w:t>-</w:t>
      </w: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on the Initial Report. The K-12 Education SDC will review and consider all feedback before it finalizes its recommendations and submits its final report to the Minister for Seniors and Accessibility for consideration.</w:t>
      </w:r>
    </w:p>
    <w:p w14:paraId="6F77513E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 </w:t>
      </w:r>
    </w:p>
    <w:p w14:paraId="4F749BC7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 xml:space="preserve">I encourage you to share this public consultation opportunity widely, including with your Special Education Advisory Committee (SEAC). It is important that the diverse voices in our publicly </w:t>
      </w: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lastRenderedPageBreak/>
        <w:t>funded K-12 education system share their insights and feedback so that they can be considered by the K-12 Education SDC before it submits its final report to the government.</w:t>
      </w:r>
    </w:p>
    <w:p w14:paraId="4788FCA1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 </w:t>
      </w:r>
    </w:p>
    <w:p w14:paraId="6D50966F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 xml:space="preserve">The Initial Report was posted online on June 1, </w:t>
      </w:r>
      <w:proofErr w:type="gramStart"/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2021</w:t>
      </w:r>
      <w:proofErr w:type="gramEnd"/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 xml:space="preserve"> for a period of business 65 days. The public may also provide written submissions by email to: </w:t>
      </w:r>
      <w:hyperlink r:id="rId7" w:tgtFrame="_blank" w:history="1">
        <w:r w:rsidRPr="00E067AD">
          <w:rPr>
            <w:rFonts w:eastAsia="Times New Roman"/>
            <w:color w:val="0563C1"/>
            <w:u w:val="single"/>
            <w:bdr w:val="none" w:sz="0" w:space="0" w:color="auto" w:frame="1"/>
            <w:lang w:eastAsia="en-CA"/>
          </w:rPr>
          <w:t>educationSDC@ontario.ca</w:t>
        </w:r>
      </w:hyperlink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.  </w:t>
      </w: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The public has an opportunity to participate in these consultations until September 2, 2021.</w:t>
      </w:r>
    </w:p>
    <w:p w14:paraId="47A81A62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en-US" w:eastAsia="en-CA"/>
        </w:rPr>
        <w:t> </w:t>
      </w:r>
    </w:p>
    <w:p w14:paraId="1708F766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000000"/>
          <w:bdr w:val="none" w:sz="0" w:space="0" w:color="auto" w:frame="1"/>
          <w:lang w:val="en-US" w:eastAsia="en-CA"/>
        </w:rPr>
        <w:t>Thank you in advance for promoting this opportunity internally and broadly to interested parties and your networks.</w:t>
      </w:r>
    </w:p>
    <w:p w14:paraId="4E07B6B5" w14:textId="77777777" w:rsidR="00E067AD" w:rsidRPr="00E067AD" w:rsidRDefault="00E067AD" w:rsidP="00E06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eastAsia="en-CA"/>
        </w:rPr>
        <w:t> </w:t>
      </w:r>
    </w:p>
    <w:p w14:paraId="18F90F81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proofErr w:type="spellStart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Sincerely</w:t>
      </w:r>
      <w:proofErr w:type="spellEnd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,</w:t>
      </w:r>
    </w:p>
    <w:p w14:paraId="25D481DC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 </w:t>
      </w:r>
    </w:p>
    <w:p w14:paraId="64869F06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 xml:space="preserve">Nancy </w:t>
      </w:r>
      <w:proofErr w:type="spellStart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Naylor</w:t>
      </w:r>
      <w:proofErr w:type="spellEnd"/>
    </w:p>
    <w:p w14:paraId="1B8F9BAC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proofErr w:type="spellStart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Deputy</w:t>
      </w:r>
      <w:proofErr w:type="spellEnd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 xml:space="preserve"> </w:t>
      </w:r>
      <w:proofErr w:type="spellStart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Minister</w:t>
      </w:r>
      <w:proofErr w:type="spellEnd"/>
      <w:r w:rsidRPr="00E067AD">
        <w:rPr>
          <w:rFonts w:eastAsia="Times New Roman"/>
          <w:color w:val="201F1E"/>
          <w:bdr w:val="none" w:sz="0" w:space="0" w:color="auto" w:frame="1"/>
          <w:lang w:val="fr-CA" w:eastAsia="en-CA"/>
        </w:rPr>
        <w:t> </w:t>
      </w:r>
    </w:p>
    <w:p w14:paraId="6F53DDF0" w14:textId="77777777" w:rsidR="00E067AD" w:rsidRPr="00E067AD" w:rsidRDefault="00E067AD" w:rsidP="00E067AD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201F1E"/>
          <w:lang w:eastAsia="en-CA"/>
        </w:rPr>
      </w:pPr>
      <w:r w:rsidRPr="00E067AD">
        <w:rPr>
          <w:rFonts w:eastAsia="Times New Roman"/>
          <w:color w:val="201F1E"/>
          <w:sz w:val="24"/>
          <w:szCs w:val="24"/>
          <w:bdr w:val="none" w:sz="0" w:space="0" w:color="auto" w:frame="1"/>
          <w:lang w:val="fr-CA" w:eastAsia="en-C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95"/>
      </w:tblGrid>
      <w:tr w:rsidR="00E067AD" w:rsidRPr="00E067AD" w14:paraId="4083AAEB" w14:textId="77777777" w:rsidTr="00E067AD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7632D3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c:</w:t>
            </w:r>
          </w:p>
        </w:tc>
        <w:tc>
          <w:tcPr>
            <w:tcW w:w="16844" w:type="dxa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88C58E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Superintendents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of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Special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Education</w:t>
            </w:r>
            <w:proofErr w:type="spellEnd"/>
          </w:p>
          <w:p w14:paraId="3E0FD0FF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MACSE Chair</w:t>
            </w:r>
          </w:p>
          <w:p w14:paraId="7FD19C93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Executive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Director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, Association des conseils scolaires des écoles publiques de l'Ontario (ACÉPO)</w:t>
            </w:r>
          </w:p>
          <w:p w14:paraId="2770C0B8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Executive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Director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, Association franco-ontarienne des conseils scolaires catholiques (AFOCSC)</w:t>
            </w:r>
          </w:p>
          <w:p w14:paraId="2B9E1C80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Ontario Catholic School Trustees' Association (OCSTA)</w:t>
            </w:r>
          </w:p>
          <w:p w14:paraId="6BB8232E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Ontario Public School Boards' Association (OPSBA)</w:t>
            </w:r>
          </w:p>
          <w:p w14:paraId="122A7CE5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Council of Ontario Directors of Education (CODE)</w:t>
            </w:r>
          </w:p>
          <w:p w14:paraId="0306274D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Executive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Director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and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Secretary-Treasurer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, Association des enseignantes et des enseignants franco-ontariens (AEFO)</w:t>
            </w:r>
          </w:p>
          <w:p w14:paraId="1E1E5ABD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General Secretary, Ontario English Catholic Teachers’ Association (OECTA)</w:t>
            </w:r>
          </w:p>
          <w:p w14:paraId="0D8BCD1F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General Secretary, Elementary Teachers’ Federation of Ontario (ETFO)</w:t>
            </w:r>
          </w:p>
          <w:p w14:paraId="4748DB2E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General Secretary, Ontario Secondary School Teachers’ Federation (OSSTF)</w:t>
            </w:r>
          </w:p>
          <w:p w14:paraId="510D4109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Chair, Ontario Council of Educational Workers (OCEW)</w:t>
            </w:r>
          </w:p>
          <w:p w14:paraId="0484E17F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Chair, Education Workers’ Alliance of Ontario (EWAO)</w:t>
            </w:r>
          </w:p>
          <w:p w14:paraId="78CB75D6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Co-ordinator, Canadian Union of Public Employees – Ontario (CUPE-ON)</w:t>
            </w:r>
          </w:p>
          <w:p w14:paraId="3074957E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Executive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Director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val="fr-CA" w:eastAsia="en-CA"/>
              </w:rPr>
              <w:t>, Association des directions et directions adjointes des écoles franco-ontariennes (ADFO)</w:t>
            </w:r>
          </w:p>
          <w:p w14:paraId="0397DB45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Catholic Principals' Council of Ontario (CPCO)</w:t>
            </w:r>
          </w:p>
          <w:p w14:paraId="73C38708" w14:textId="77777777" w:rsidR="00E067AD" w:rsidRPr="00E067AD" w:rsidRDefault="00E067AD" w:rsidP="00E067AD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Ontario Principals' Council (OPC)</w:t>
            </w:r>
          </w:p>
          <w:p w14:paraId="2F203B1D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President, Ontario Public Supervisory Officials’ Association (OPSOA)</w:t>
            </w:r>
          </w:p>
          <w:p w14:paraId="02888F19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President, Ontario Catholic Supervisory Officers' Association (OCSOA)</w:t>
            </w:r>
          </w:p>
          <w:p w14:paraId="4BE6511A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President, Association des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gestionnaires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l’éducation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franco-ontarienne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(AGEFO)</w:t>
            </w:r>
          </w:p>
          <w:p w14:paraId="5DC233EE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Registrar &amp; CEO, Ontario College of Teachers (OCT)</w:t>
            </w:r>
          </w:p>
          <w:p w14:paraId="7E4F0800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President, Fédération des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enseignantes-enseignants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des écoles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secondaires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l’Ontario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(FEESO)</w:t>
            </w:r>
          </w:p>
          <w:p w14:paraId="38F2E056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Chair, OPSBA Indigenous Trustees’ Council</w:t>
            </w:r>
          </w:p>
          <w:p w14:paraId="5895124A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OCSTA Indigenous Trustees’ Council</w:t>
            </w:r>
          </w:p>
          <w:p w14:paraId="69EB92EC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Executive Director, Conseil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ontarien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des directrices et des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directeurs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l’education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 la langue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francaise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(CODELF)</w:t>
            </w:r>
          </w:p>
          <w:p w14:paraId="0D70531C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Ontario Student Trustees’ Association (OSTA-AÉCO)</w:t>
            </w:r>
          </w:p>
          <w:p w14:paraId="293117D0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Executive Director,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Regroupement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des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élèves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conseillers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francophones de </w:t>
            </w:r>
            <w:proofErr w:type="spellStart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l'Ontario</w:t>
            </w:r>
            <w:proofErr w:type="spellEnd"/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 xml:space="preserve"> (RÉCFO)</w:t>
            </w:r>
          </w:p>
          <w:p w14:paraId="5B6B5AB5" w14:textId="77777777" w:rsidR="00E067AD" w:rsidRPr="00E067AD" w:rsidRDefault="00E067AD" w:rsidP="00E067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CA"/>
              </w:rPr>
            </w:pPr>
            <w:r w:rsidRPr="00E067AD">
              <w:rPr>
                <w:rFonts w:eastAsia="Times New Roman"/>
                <w:color w:val="201F1E"/>
                <w:bdr w:val="none" w:sz="0" w:space="0" w:color="auto" w:frame="1"/>
                <w:lang w:eastAsia="en-CA"/>
              </w:rPr>
              <w:t>Executive Director, Ontario Education Services Corporation (OESC)</w:t>
            </w:r>
          </w:p>
        </w:tc>
      </w:tr>
    </w:tbl>
    <w:p w14:paraId="1D7F616E" w14:textId="77777777" w:rsidR="008A0524" w:rsidRDefault="00E067AD"/>
    <w:sectPr w:rsidR="008A0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AD"/>
    <w:rsid w:val="00452EA1"/>
    <w:rsid w:val="00A00B76"/>
    <w:rsid w:val="00DA318F"/>
    <w:rsid w:val="00E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32AA"/>
  <w15:chartTrackingRefBased/>
  <w15:docId w15:val="{B379C851-7C75-4CBF-98F5-5FF8A00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9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SDC@ontari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page/consultation-initial-recommendations-development-proposed-kindergarten-grade-12-k-12-education" TargetMode="External"/><Relationship Id="rId5" Type="http://schemas.openxmlformats.org/officeDocument/2006/relationships/hyperlink" Target="mailto:MinistryofEducation@ontario.ca" TargetMode="External"/><Relationship Id="rId4" Type="http://schemas.openxmlformats.org/officeDocument/2006/relationships/hyperlink" Target="mailto:MinistryofEducation@ontario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1</cp:revision>
  <dcterms:created xsi:type="dcterms:W3CDTF">2021-06-14T13:51:00Z</dcterms:created>
  <dcterms:modified xsi:type="dcterms:W3CDTF">2021-06-14T13:55:00Z</dcterms:modified>
</cp:coreProperties>
</file>