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79" w:rsidRDefault="005906BA" w:rsidP="00B87F5D">
      <w:pPr>
        <w:jc w:val="center"/>
      </w:pPr>
    </w:p>
    <w:p w:rsidR="005906BA" w:rsidRDefault="00B87F5D" w:rsidP="00B87F5D">
      <w:pPr>
        <w:jc w:val="center"/>
        <w:rPr>
          <w:b/>
          <w:bCs/>
          <w:lang w:val="en-US"/>
        </w:rPr>
      </w:pPr>
      <w:r w:rsidRPr="00B87F5D">
        <w:rPr>
          <w:b/>
          <w:bCs/>
          <w:lang w:val="en-US"/>
        </w:rPr>
        <w:t>School Board Governance Supports</w:t>
      </w:r>
    </w:p>
    <w:p w:rsidR="00B87F5D" w:rsidRPr="00B87F5D" w:rsidRDefault="005906BA" w:rsidP="00B87F5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Suggested Points for SEACs</w:t>
      </w:r>
      <w:bookmarkStart w:id="0" w:name="_GoBack"/>
      <w:bookmarkEnd w:id="0"/>
      <w:r w:rsidR="00B87F5D">
        <w:rPr>
          <w:b/>
          <w:bCs/>
          <w:lang w:val="en-US"/>
        </w:rPr>
        <w:br/>
      </w:r>
    </w:p>
    <w:p w:rsidR="00B87F5D" w:rsidRPr="00B87F5D" w:rsidRDefault="00B87F5D" w:rsidP="00B87F5D">
      <w:r w:rsidRPr="00B87F5D">
        <w:rPr>
          <w:b/>
          <w:bCs/>
        </w:rPr>
        <w:t>1. Integrity Commissioner and Trustee Code of Conduct</w:t>
      </w:r>
    </w:p>
    <w:p w:rsidR="00B87F5D" w:rsidRDefault="00B87F5D" w:rsidP="00B87F5D">
      <w:r w:rsidRPr="00B87F5D">
        <w:t>1. What effective practices and structures could support school boards to strengthen board accountability and public confidence?</w:t>
      </w:r>
    </w:p>
    <w:p w:rsidR="00B87F5D" w:rsidRDefault="00B87F5D" w:rsidP="00B87F5D">
      <w:pPr>
        <w:pStyle w:val="ListParagraph"/>
        <w:numPr>
          <w:ilvl w:val="0"/>
          <w:numId w:val="1"/>
        </w:numPr>
      </w:pPr>
      <w:r>
        <w:t xml:space="preserve">School board trustees should receive SEAC minutes and review motions from SEAC, particularly to do with the Special Education Plan. </w:t>
      </w:r>
    </w:p>
    <w:p w:rsidR="00B87F5D" w:rsidRDefault="00B87F5D" w:rsidP="00B87F5D">
      <w:pPr>
        <w:pStyle w:val="ListParagraph"/>
        <w:numPr>
          <w:ilvl w:val="0"/>
          <w:numId w:val="1"/>
        </w:numPr>
      </w:pPr>
      <w:r>
        <w:t xml:space="preserve">School board trustees should demonstrate accountability by consulting SEAC on any matters that affect students with special education needs, and </w:t>
      </w:r>
      <w:r w:rsidR="003B33D3">
        <w:t>by taking into account recommendations from SEAC.</w:t>
      </w:r>
    </w:p>
    <w:p w:rsidR="005906BA" w:rsidRPr="00B87F5D" w:rsidRDefault="005906BA" w:rsidP="00B87F5D">
      <w:pPr>
        <w:pStyle w:val="ListParagraph"/>
        <w:numPr>
          <w:ilvl w:val="0"/>
          <w:numId w:val="1"/>
        </w:numPr>
      </w:pPr>
      <w:r>
        <w:t>School board meeting minutes need to be available to the public in accessible formats.</w:t>
      </w:r>
    </w:p>
    <w:p w:rsidR="00B87F5D" w:rsidRPr="00B87F5D" w:rsidRDefault="005906BA" w:rsidP="00B87F5D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="00B87F5D" w:rsidRPr="00B87F5D">
        <w:drawing>
          <wp:anchor distT="4294967295" distB="4294967295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8619490</wp:posOffset>
            </wp:positionV>
            <wp:extent cx="6010275" cy="952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F5D" w:rsidRPr="00B87F5D">
        <w:rPr>
          <w:b/>
          <w:bCs/>
          <w:lang w:val="en-US"/>
        </w:rPr>
        <w:t>3. Electronic Participation in Board and Committee Meetings</w:t>
      </w:r>
    </w:p>
    <w:p w:rsidR="003B33D3" w:rsidRDefault="003B33D3" w:rsidP="00B87F5D">
      <w:r>
        <w:t>3</w:t>
      </w:r>
      <w:r w:rsidR="00B87F5D" w:rsidRPr="00B87F5D">
        <w:t>. What practices and resources could facilitate effective meetings where the chair or other members participate electronically?</w:t>
      </w:r>
    </w:p>
    <w:p w:rsidR="003B33D3" w:rsidRDefault="003B33D3" w:rsidP="003B33D3">
      <w:pPr>
        <w:pStyle w:val="ListParagraph"/>
        <w:numPr>
          <w:ilvl w:val="0"/>
          <w:numId w:val="2"/>
        </w:numPr>
      </w:pPr>
      <w:r>
        <w:t xml:space="preserve">The opportunity for electronic participation is </w:t>
      </w:r>
      <w:r w:rsidR="005906BA">
        <w:t xml:space="preserve">especially </w:t>
      </w:r>
      <w:r>
        <w:t>important in rural areas where SEAC members may have to travel long distances to attend meetings. This opportunity can facilitate recruitment of SEAC members.</w:t>
      </w:r>
    </w:p>
    <w:p w:rsidR="003B33D3" w:rsidRDefault="003B33D3" w:rsidP="003B33D3">
      <w:pPr>
        <w:pStyle w:val="ListParagraph"/>
        <w:numPr>
          <w:ilvl w:val="0"/>
          <w:numId w:val="2"/>
        </w:numPr>
      </w:pPr>
      <w:r>
        <w:t xml:space="preserve">Appropriate technology set-ups will facilitate participation by all members. </w:t>
      </w:r>
    </w:p>
    <w:p w:rsidR="003B33D3" w:rsidRDefault="003B33D3" w:rsidP="003B33D3">
      <w:pPr>
        <w:pStyle w:val="ListParagraph"/>
        <w:numPr>
          <w:ilvl w:val="0"/>
          <w:numId w:val="2"/>
        </w:numPr>
      </w:pPr>
      <w:r>
        <w:t>Attendance in person to some meetings is an effective practice.</w:t>
      </w:r>
    </w:p>
    <w:p w:rsidR="00B87F5D" w:rsidRDefault="00B87F5D" w:rsidP="003B33D3">
      <w:pPr>
        <w:pStyle w:val="ListParagraph"/>
        <w:ind w:left="360"/>
      </w:pPr>
    </w:p>
    <w:p w:rsidR="00B87F5D" w:rsidRPr="00B87F5D" w:rsidRDefault="00B87F5D" w:rsidP="00B87F5D">
      <w:pPr>
        <w:rPr>
          <w:b/>
          <w:lang w:val="en-US"/>
        </w:rPr>
      </w:pPr>
      <w:r w:rsidRPr="00B87F5D"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9259570</wp:posOffset>
                </wp:positionV>
                <wp:extent cx="673100" cy="179070"/>
                <wp:effectExtent l="0" t="0" r="127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F5D" w:rsidRDefault="00B87F5D" w:rsidP="00B87F5D">
                            <w:pPr>
                              <w:spacing w:before="6" w:line="272" w:lineRule="exact"/>
                              <w:textAlignment w:val="baseline"/>
                              <w:rPr>
                                <w:rFonts w:eastAsia="Arial"/>
                                <w:b/>
                                <w:color w:val="000000"/>
                                <w:spacing w:val="-13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5pt;margin-top:729.1pt;width:53pt;height:14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Z4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C8uwwBOSjgKF0mwcJ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" filled="f" stroked="f">
                <v:textbox inset="0,0,0,0">
                  <w:txbxContent>
                    <w:p w:rsidR="00B87F5D" w:rsidRDefault="00B87F5D" w:rsidP="00B87F5D">
                      <w:pPr>
                        <w:spacing w:before="6" w:line="272" w:lineRule="exact"/>
                        <w:textAlignment w:val="baseline"/>
                        <w:rPr>
                          <w:rFonts w:eastAsia="Arial"/>
                          <w:b/>
                          <w:color w:val="000000"/>
                          <w:spacing w:val="-13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87F5D">
        <w:rPr>
          <w:b/>
          <w:lang w:val="en-US"/>
        </w:rPr>
        <w:t>4. Student Trustee Term of Office and Election Process</w:t>
      </w:r>
    </w:p>
    <w:p w:rsidR="00B87F5D" w:rsidRDefault="00B87F5D" w:rsidP="00B87F5D">
      <w:r>
        <w:t xml:space="preserve">1. </w:t>
      </w:r>
      <w:r w:rsidRPr="00B87F5D">
        <w:t>How can boards increase the student voice in decision-making?</w:t>
      </w:r>
    </w:p>
    <w:p w:rsidR="003B33D3" w:rsidRPr="00B87F5D" w:rsidRDefault="003B33D3" w:rsidP="003B33D3">
      <w:pPr>
        <w:pStyle w:val="ListParagraph"/>
        <w:numPr>
          <w:ilvl w:val="0"/>
          <w:numId w:val="3"/>
        </w:numPr>
      </w:pPr>
      <w:r>
        <w:t>It is an effective practice for student trustees to attend SEAC meetings</w:t>
      </w:r>
      <w:r w:rsidR="005906BA">
        <w:t>,</w:t>
      </w:r>
      <w:r>
        <w:t xml:space="preserve"> to offer a student voice and to take information from a student perspective back to the board.</w:t>
      </w:r>
    </w:p>
    <w:p w:rsidR="00B87F5D" w:rsidRDefault="00B87F5D" w:rsidP="00B87F5D">
      <w:r w:rsidRPr="00B87F5D">
        <w:br/>
      </w:r>
      <w:r w:rsidRPr="00B87F5D">
        <w:rPr>
          <w:b/>
          <w:bCs/>
        </w:rPr>
        <w:t>5. Broadening the Director of Education Qualifications</w:t>
      </w:r>
      <w:r w:rsidR="005906BA">
        <w:rPr>
          <w:b/>
          <w:bCs/>
        </w:rPr>
        <w:br/>
      </w:r>
      <w:r w:rsidRPr="00B87F5D">
        <w:rPr>
          <w:b/>
          <w:bCs/>
        </w:rPr>
        <w:br/>
      </w:r>
      <w:r w:rsidRPr="00B87F5D">
        <w:t>1. What are the necessary competencies for a director of education?</w:t>
      </w:r>
    </w:p>
    <w:p w:rsidR="003B33D3" w:rsidRPr="00B87F5D" w:rsidRDefault="005906BA" w:rsidP="003B33D3">
      <w:pPr>
        <w:pStyle w:val="ListParagraph"/>
        <w:numPr>
          <w:ilvl w:val="0"/>
          <w:numId w:val="3"/>
        </w:numPr>
      </w:pPr>
      <w:r>
        <w:t xml:space="preserve">The Director of Education should have qualifications in special education, e.g. Special Education AQs, or special education courses through the Ontario Principals’ Council.   </w:t>
      </w:r>
    </w:p>
    <w:p w:rsidR="00B87F5D" w:rsidRDefault="00B87F5D"/>
    <w:p w:rsidR="005906BA" w:rsidRDefault="005906BA"/>
    <w:sectPr w:rsidR="00590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5D" w:rsidRDefault="00B87F5D" w:rsidP="00B87F5D">
      <w:pPr>
        <w:spacing w:after="0" w:line="240" w:lineRule="auto"/>
      </w:pPr>
      <w:r>
        <w:separator/>
      </w:r>
    </w:p>
  </w:endnote>
  <w:endnote w:type="continuationSeparator" w:id="0">
    <w:p w:rsidR="00B87F5D" w:rsidRDefault="00B87F5D" w:rsidP="00B8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5D" w:rsidRDefault="00B87F5D" w:rsidP="00B87F5D">
      <w:pPr>
        <w:spacing w:after="0" w:line="240" w:lineRule="auto"/>
      </w:pPr>
      <w:r>
        <w:separator/>
      </w:r>
    </w:p>
  </w:footnote>
  <w:footnote w:type="continuationSeparator" w:id="0">
    <w:p w:rsidR="00B87F5D" w:rsidRDefault="00B87F5D" w:rsidP="00B8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80E"/>
    <w:multiLevelType w:val="hybridMultilevel"/>
    <w:tmpl w:val="7C16CC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478E9"/>
    <w:multiLevelType w:val="hybridMultilevel"/>
    <w:tmpl w:val="A2B8F0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BE4DD1"/>
    <w:multiLevelType w:val="hybridMultilevel"/>
    <w:tmpl w:val="1A929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5D"/>
    <w:rsid w:val="003B33D3"/>
    <w:rsid w:val="004074DD"/>
    <w:rsid w:val="005906BA"/>
    <w:rsid w:val="007E6A66"/>
    <w:rsid w:val="00B87F5D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4799F7"/>
  <w15:chartTrackingRefBased/>
  <w15:docId w15:val="{1FEAECB8-AA48-4E47-B986-45B1FBBE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F5D"/>
  </w:style>
  <w:style w:type="paragraph" w:styleId="Footer">
    <w:name w:val="footer"/>
    <w:basedOn w:val="Normal"/>
    <w:link w:val="FooterChar"/>
    <w:uiPriority w:val="99"/>
    <w:unhideWhenUsed/>
    <w:rsid w:val="00B8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F5D"/>
  </w:style>
  <w:style w:type="paragraph" w:styleId="ListParagraph">
    <w:name w:val="List Paragraph"/>
    <w:basedOn w:val="Normal"/>
    <w:uiPriority w:val="34"/>
    <w:qFormat/>
    <w:rsid w:val="00B8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dianew@ldao.ca</dc:creator>
  <cp:keywords/>
  <dc:description/>
  <cp:lastModifiedBy>dianew@ldao.ca</cp:lastModifiedBy>
  <cp:revision>1</cp:revision>
  <dcterms:created xsi:type="dcterms:W3CDTF">2017-10-31T13:35:00Z</dcterms:created>
  <dcterms:modified xsi:type="dcterms:W3CDTF">2017-10-31T14:05:00Z</dcterms:modified>
</cp:coreProperties>
</file>