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F80" w:rsidRDefault="00AC6F80" w:rsidP="00AC6F80">
      <w:r>
        <w:rPr>
          <w:noProof/>
        </w:rPr>
        <w:drawing>
          <wp:anchor distT="0" distB="0" distL="114300" distR="114300" simplePos="0" relativeHeight="251660288" behindDoc="1" locked="0" layoutInCell="1" allowOverlap="1">
            <wp:simplePos x="0" y="0"/>
            <wp:positionH relativeFrom="column">
              <wp:posOffset>1219200</wp:posOffset>
            </wp:positionH>
            <wp:positionV relativeFrom="paragraph">
              <wp:posOffset>146050</wp:posOffset>
            </wp:positionV>
            <wp:extent cx="3333750" cy="812800"/>
            <wp:effectExtent l="19050" t="0" r="0" b="0"/>
            <wp:wrapTight wrapText="bothSides">
              <wp:wrapPolygon edited="0">
                <wp:start x="-123" y="0"/>
                <wp:lineTo x="-123" y="21263"/>
                <wp:lineTo x="21600" y="21263"/>
                <wp:lineTo x="21600" y="0"/>
                <wp:lineTo x="-123"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33750" cy="812800"/>
                    </a:xfrm>
                    <a:prstGeom prst="rect">
                      <a:avLst/>
                    </a:prstGeom>
                    <a:noFill/>
                    <a:ln w="9525">
                      <a:noFill/>
                      <a:miter lim="800000"/>
                      <a:headEnd/>
                      <a:tailEnd/>
                    </a:ln>
                  </pic:spPr>
                </pic:pic>
              </a:graphicData>
            </a:graphic>
          </wp:anchor>
        </w:drawing>
      </w:r>
    </w:p>
    <w:p w:rsidR="00AC6F80" w:rsidRDefault="00AC6F80" w:rsidP="00AC6F80"/>
    <w:p w:rsidR="00AC6F80" w:rsidRDefault="00AC6F80" w:rsidP="00AC6F80"/>
    <w:p w:rsidR="00AC6F80" w:rsidRDefault="00AC6F80" w:rsidP="00AC6F80"/>
    <w:p w:rsidR="00AC6F80" w:rsidRDefault="00AC6F80" w:rsidP="00AC6F80">
      <w:pPr>
        <w:jc w:val="center"/>
        <w:rPr>
          <w:b/>
          <w:sz w:val="40"/>
          <w:szCs w:val="40"/>
        </w:rPr>
      </w:pPr>
      <w:r>
        <w:rPr>
          <w:b/>
          <w:sz w:val="40"/>
          <w:szCs w:val="40"/>
        </w:rPr>
        <w:t xml:space="preserve">LDAO </w:t>
      </w:r>
      <w:r w:rsidRPr="00BB4CAC">
        <w:rPr>
          <w:b/>
          <w:sz w:val="40"/>
          <w:szCs w:val="40"/>
        </w:rPr>
        <w:t>SEAC CIRCULAR</w:t>
      </w:r>
    </w:p>
    <w:p w:rsidR="00AC6F80" w:rsidRDefault="00AC6F80" w:rsidP="00AC6F80">
      <w:pPr>
        <w:jc w:val="right"/>
        <w:rPr>
          <w:b/>
          <w:sz w:val="28"/>
          <w:szCs w:val="28"/>
        </w:rPr>
      </w:pPr>
      <w:r>
        <w:rPr>
          <w:b/>
          <w:sz w:val="28"/>
          <w:szCs w:val="28"/>
        </w:rPr>
        <w:t>February 2012</w:t>
      </w:r>
    </w:p>
    <w:p w:rsidR="002172FF" w:rsidRDefault="002172FF" w:rsidP="00AC6F80">
      <w:pPr>
        <w:jc w:val="right"/>
        <w:rPr>
          <w:b/>
          <w:sz w:val="28"/>
          <w:szCs w:val="28"/>
        </w:rPr>
      </w:pPr>
    </w:p>
    <w:p w:rsidR="00AC6F80" w:rsidRDefault="00AC6F80" w:rsidP="00AC6F80">
      <w:r>
        <w:t>The Learning Disabilities Association of Ontario (LDAO) SEAC Circular is published 5 times a year, in September, November (December this year), February, April and June.</w:t>
      </w:r>
    </w:p>
    <w:p w:rsidR="00AC6F80" w:rsidRDefault="00AC6F80" w:rsidP="00AC6F80">
      <w:r>
        <w:t xml:space="preserve">The following are some topics that your SEAC should be looking at in the next couple of months.  As usual </w:t>
      </w:r>
      <w:r>
        <w:rPr>
          <w:u w:val="single"/>
        </w:rPr>
        <w:t>a</w:t>
      </w:r>
      <w:r w:rsidRPr="00244489">
        <w:rPr>
          <w:u w:val="single"/>
        </w:rPr>
        <w:t>ction items will be underlined</w:t>
      </w:r>
      <w:r>
        <w:t>, and summarized at the end.</w:t>
      </w:r>
      <w:r w:rsidRPr="00244489">
        <w:t xml:space="preserve"> </w:t>
      </w:r>
      <w:r>
        <w:t xml:space="preserve">Suggestions for Effective practices will appear in </w:t>
      </w:r>
      <w:r w:rsidRPr="00811CB7">
        <w:rPr>
          <w:color w:val="C00000"/>
        </w:rPr>
        <w:t>red.</w:t>
      </w:r>
    </w:p>
    <w:p w:rsidR="00AC6F80" w:rsidRDefault="00AC6F80" w:rsidP="00AC6F80">
      <w:r w:rsidRPr="00244489">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AC6F80" w:rsidRDefault="00AC6F80" w:rsidP="00AC6F80">
      <w:pPr>
        <w:rPr>
          <w:b/>
        </w:rPr>
      </w:pPr>
      <w:r>
        <w:rPr>
          <w:b/>
          <w:sz w:val="28"/>
          <w:szCs w:val="28"/>
        </w:rPr>
        <w:br/>
      </w:r>
      <w:r w:rsidRPr="00244489">
        <w:rPr>
          <w:b/>
        </w:rPr>
        <w:t>The topics covered by this SEAC Circular:</w:t>
      </w:r>
    </w:p>
    <w:p w:rsidR="00AC6F80" w:rsidRDefault="00AC6F80" w:rsidP="00AC6F80">
      <w:pPr>
        <w:pStyle w:val="ListParagraph"/>
        <w:numPr>
          <w:ilvl w:val="0"/>
          <w:numId w:val="1"/>
        </w:numPr>
      </w:pPr>
      <w:r>
        <w:t>Categories of Exceptionalities memo</w:t>
      </w:r>
      <w:r>
        <w:br/>
      </w:r>
    </w:p>
    <w:p w:rsidR="00AC6F80" w:rsidRDefault="00AC6F80" w:rsidP="00AC6F80">
      <w:pPr>
        <w:pStyle w:val="ListParagraph"/>
        <w:numPr>
          <w:ilvl w:val="0"/>
          <w:numId w:val="1"/>
        </w:numPr>
      </w:pPr>
      <w:r>
        <w:t>Mental health initiatives</w:t>
      </w:r>
      <w:r>
        <w:br/>
      </w:r>
    </w:p>
    <w:p w:rsidR="00AC6F80" w:rsidRDefault="00AC6F80" w:rsidP="00AC6F80">
      <w:pPr>
        <w:pStyle w:val="ListParagraph"/>
        <w:numPr>
          <w:ilvl w:val="0"/>
          <w:numId w:val="1"/>
        </w:numPr>
      </w:pPr>
      <w:r>
        <w:t>Learning Disabilities Working Group</w:t>
      </w:r>
    </w:p>
    <w:p w:rsidR="00295BF2" w:rsidRDefault="00AC6F80" w:rsidP="00AC6F80">
      <w:r>
        <w:t>4.   Additional Qualification (AQ) courses</w:t>
      </w:r>
    </w:p>
    <w:p w:rsidR="00AC6F80" w:rsidRDefault="00295BF2" w:rsidP="00AC6F80">
      <w:r>
        <w:t xml:space="preserve">5.   Revised draft of </w:t>
      </w:r>
      <w:r w:rsidRPr="00295BF2">
        <w:rPr>
          <w:i/>
        </w:rPr>
        <w:t>Learning for All</w:t>
      </w:r>
      <w:r w:rsidR="00AC6F80">
        <w:br/>
      </w:r>
    </w:p>
    <w:p w:rsidR="00AC6F80" w:rsidRDefault="00AC6F80" w:rsidP="00AC6F80">
      <w:pPr>
        <w:rPr>
          <w:rFonts w:cs="Arial"/>
          <w:b/>
        </w:rPr>
      </w:pPr>
      <w:r>
        <w:rPr>
          <w:rFonts w:cs="Arial"/>
          <w:b/>
        </w:rPr>
        <w:t>List of Supplementary Materials:</w:t>
      </w:r>
    </w:p>
    <w:p w:rsidR="00AC6F80" w:rsidRDefault="00AC6F80" w:rsidP="00AC6F80">
      <w:pPr>
        <w:rPr>
          <w:rFonts w:cs="Arial"/>
        </w:rPr>
      </w:pPr>
      <w:r>
        <w:rPr>
          <w:rFonts w:cs="Arial"/>
        </w:rPr>
        <w:t>1. Memo on Categories of Exceptionalities</w:t>
      </w:r>
    </w:p>
    <w:p w:rsidR="00AC6F80" w:rsidRDefault="00AC6F80" w:rsidP="00AC6F80">
      <w:pPr>
        <w:rPr>
          <w:rFonts w:cs="Arial"/>
        </w:rPr>
      </w:pPr>
      <w:r>
        <w:rPr>
          <w:rFonts w:cs="Arial"/>
        </w:rPr>
        <w:t xml:space="preserve">2. LDAO News Release </w:t>
      </w:r>
    </w:p>
    <w:p w:rsidR="00AC6F80" w:rsidRDefault="00AC6F80" w:rsidP="00AC6F80">
      <w:pPr>
        <w:rPr>
          <w:rFonts w:cs="Arial"/>
        </w:rPr>
      </w:pPr>
      <w:r>
        <w:rPr>
          <w:rFonts w:cs="Arial"/>
        </w:rPr>
        <w:lastRenderedPageBreak/>
        <w:t>3. PowerPoint on Mental Health initiatives</w:t>
      </w:r>
    </w:p>
    <w:p w:rsidR="00AC6F80" w:rsidRDefault="00AC6F80" w:rsidP="00AC6F80">
      <w:r>
        <w:rPr>
          <w:rFonts w:cs="Arial"/>
        </w:rPr>
        <w:t xml:space="preserve">4. Key Messages from Learning </w:t>
      </w:r>
      <w:r>
        <w:t>Disabilities Working Group</w:t>
      </w:r>
    </w:p>
    <w:p w:rsidR="00AC6F80" w:rsidRDefault="00AC6F80" w:rsidP="00AC6F80">
      <w:r>
        <w:t>5. LDAO recommended revisions to LD AQ</w:t>
      </w:r>
    </w:p>
    <w:p w:rsidR="00295BF2" w:rsidRDefault="00295BF2" w:rsidP="00AC6F80">
      <w:r>
        <w:t xml:space="preserve">6. Learning for All memo </w:t>
      </w:r>
    </w:p>
    <w:p w:rsidR="005847D5" w:rsidRDefault="005847D5" w:rsidP="00AC6F80"/>
    <w:p w:rsidR="005847D5" w:rsidRDefault="005847D5" w:rsidP="00AC6F80">
      <w:pPr>
        <w:rPr>
          <w:b/>
        </w:rPr>
      </w:pPr>
      <w:r w:rsidRPr="005847D5">
        <w:rPr>
          <w:b/>
        </w:rPr>
        <w:t>1. Categories of Exceptionalities memo</w:t>
      </w:r>
    </w:p>
    <w:p w:rsidR="00A11C59" w:rsidRDefault="00A11C59" w:rsidP="00AC6F80">
      <w:r>
        <w:t xml:space="preserve">In </w:t>
      </w:r>
      <w:r w:rsidR="005847D5">
        <w:t xml:space="preserve">December </w:t>
      </w:r>
      <w:r w:rsidR="002A7449">
        <w:t xml:space="preserve">2011 </w:t>
      </w:r>
      <w:r w:rsidR="005847D5">
        <w:t xml:space="preserve">a memo went to Directors of Education clarifying that students with some </w:t>
      </w:r>
      <w:r w:rsidR="007067E6">
        <w:t xml:space="preserve">disorders </w:t>
      </w:r>
      <w:r w:rsidR="005847D5">
        <w:t>that affect learning, including ADHD, may in certain cases be identified under Communi</w:t>
      </w:r>
      <w:r w:rsidR="002A7449">
        <w:t xml:space="preserve">cation -- Learning Disability. </w:t>
      </w:r>
      <w:r>
        <w:t xml:space="preserve">LDAO hopes that </w:t>
      </w:r>
      <w:r>
        <w:rPr>
          <w:szCs w:val="22"/>
        </w:rPr>
        <w:t>the implementation of this memorandum within school boards around Ontario will result in increased access to special education services for students with ADHD and other neurobiological disorders which affect learning.</w:t>
      </w:r>
      <w:r w:rsidR="007067E6">
        <w:rPr>
          <w:szCs w:val="22"/>
        </w:rPr>
        <w:t xml:space="preserve"> </w:t>
      </w:r>
      <w:r w:rsidR="007067E6" w:rsidRPr="007067E6">
        <w:rPr>
          <w:szCs w:val="22"/>
          <w:u w:val="single"/>
        </w:rPr>
        <w:t>SEACs should ask their boards how they plan to implement the Ministry’s directions as outlined in the memo.</w:t>
      </w:r>
      <w:r w:rsidR="007067E6">
        <w:rPr>
          <w:szCs w:val="22"/>
        </w:rPr>
        <w:t xml:space="preserve"> </w:t>
      </w:r>
    </w:p>
    <w:p w:rsidR="000B41B5" w:rsidRDefault="002172FF" w:rsidP="00AC6F80">
      <w:r>
        <w:t xml:space="preserve">LDAO’s </w:t>
      </w:r>
      <w:r w:rsidR="000B41B5">
        <w:t>position is outlined in the attached News Release.</w:t>
      </w:r>
    </w:p>
    <w:p w:rsidR="00901765" w:rsidRDefault="00901765" w:rsidP="00AC6F80">
      <w:r>
        <w:rPr>
          <w:szCs w:val="22"/>
          <w:lang w:val="en-GB"/>
        </w:rPr>
        <w:br/>
      </w:r>
      <w:r w:rsidRPr="00901765">
        <w:rPr>
          <w:b/>
        </w:rPr>
        <w:t>2. Mental health initiatives</w:t>
      </w:r>
    </w:p>
    <w:p w:rsidR="00901765" w:rsidRDefault="00901765" w:rsidP="00901765">
      <w:r>
        <w:t xml:space="preserve">The December 2011 SEAC Circular talked about new mental health and addiction initiatives involving collaboration among four Ministries, Education (EDU), Children &amp; Youth Services (MCYS), Health &amp; Long-Term Care (MOHLTC) and Training, Colleges &amp; Universities (MTCU). </w:t>
      </w:r>
      <w:r>
        <w:br/>
      </w:r>
      <w:r w:rsidRPr="00901765">
        <w:t xml:space="preserve">15 school boards have been chosen this year to hire mental health leaders who will work with Dr. Kathy Short and Dr. Bruce Ferguson to develop a school board mental health plan. In year 2 of the 3 year initiative, there will be 30 boards included, with all 72 to be involved by year 3. The school board mental health plans will coordinate school and community mental health services, and will link to existing networks such as the </w:t>
      </w:r>
      <w:r w:rsidRPr="00901765">
        <w:rPr>
          <w:i/>
        </w:rPr>
        <w:t>Student Support Leadership</w:t>
      </w:r>
      <w:r w:rsidRPr="00901765">
        <w:t xml:space="preserve"> clusters and the MCYS </w:t>
      </w:r>
      <w:r w:rsidRPr="00901765">
        <w:rPr>
          <w:i/>
        </w:rPr>
        <w:t>Working Together for Kids Mental Health</w:t>
      </w:r>
      <w:r w:rsidRPr="00901765">
        <w:t xml:space="preserve"> initiative.</w:t>
      </w:r>
    </w:p>
    <w:p w:rsidR="00D40297" w:rsidRPr="00901765" w:rsidRDefault="00D40297" w:rsidP="00901765">
      <w:r>
        <w:rPr>
          <w:szCs w:val="22"/>
        </w:rPr>
        <w:t>144 nurses will be hired through MOHLTC to work in school boards. Some will be in leadership positions and others may provide front line services to students.</w:t>
      </w:r>
    </w:p>
    <w:p w:rsidR="00D40297" w:rsidRDefault="00901765" w:rsidP="00AC6F80">
      <w:pPr>
        <w:rPr>
          <w:szCs w:val="22"/>
        </w:rPr>
      </w:pPr>
      <w:r>
        <w:t xml:space="preserve">Special Education Policy &amp; Programs Branch staff have </w:t>
      </w:r>
      <w:r>
        <w:rPr>
          <w:szCs w:val="22"/>
        </w:rPr>
        <w:t xml:space="preserve">been working on a K-12 guide for educators on students with mental health and/or addictions issues. </w:t>
      </w:r>
      <w:r w:rsidR="00D40297">
        <w:rPr>
          <w:szCs w:val="22"/>
        </w:rPr>
        <w:t>There will also be a website based</w:t>
      </w:r>
      <w:r w:rsidR="000B41B5">
        <w:rPr>
          <w:szCs w:val="22"/>
        </w:rPr>
        <w:t xml:space="preserve"> on materials in the guide, with</w:t>
      </w:r>
      <w:r w:rsidR="00D40297">
        <w:rPr>
          <w:szCs w:val="22"/>
        </w:rPr>
        <w:t xml:space="preserve"> links to other resources.</w:t>
      </w:r>
    </w:p>
    <w:p w:rsidR="000B41B5" w:rsidRPr="000B41B5" w:rsidRDefault="00D40297" w:rsidP="007D639C">
      <w:pPr>
        <w:rPr>
          <w:u w:val="single"/>
        </w:rPr>
      </w:pPr>
      <w:r>
        <w:rPr>
          <w:u w:val="single"/>
        </w:rPr>
        <w:lastRenderedPageBreak/>
        <w:t xml:space="preserve">SEACs should ask for monthly updates </w:t>
      </w:r>
      <w:r w:rsidRPr="003B3A8E">
        <w:rPr>
          <w:u w:val="single"/>
        </w:rPr>
        <w:t xml:space="preserve">on how </w:t>
      </w:r>
      <w:r>
        <w:rPr>
          <w:u w:val="single"/>
        </w:rPr>
        <w:t xml:space="preserve">all </w:t>
      </w:r>
      <w:r w:rsidRPr="003B3A8E">
        <w:rPr>
          <w:u w:val="single"/>
        </w:rPr>
        <w:t>these initi</w:t>
      </w:r>
      <w:r>
        <w:rPr>
          <w:u w:val="single"/>
        </w:rPr>
        <w:t>atives are being developed and coordinated</w:t>
      </w:r>
      <w:r w:rsidRPr="003B3A8E">
        <w:rPr>
          <w:u w:val="single"/>
        </w:rPr>
        <w:t xml:space="preserve"> in their school board.</w:t>
      </w:r>
      <w:r w:rsidR="000B41B5">
        <w:rPr>
          <w:u w:val="single"/>
        </w:rPr>
        <w:br/>
      </w:r>
    </w:p>
    <w:p w:rsidR="00ED4B93" w:rsidRPr="00D91981" w:rsidRDefault="00D40297" w:rsidP="00D91981">
      <w:pPr>
        <w:pStyle w:val="ListParagraph"/>
        <w:ind w:left="0"/>
        <w:rPr>
          <w:b/>
        </w:rPr>
      </w:pPr>
      <w:r>
        <w:rPr>
          <w:b/>
        </w:rPr>
        <w:t xml:space="preserve">3. </w:t>
      </w:r>
      <w:r w:rsidRPr="00D40297">
        <w:rPr>
          <w:b/>
        </w:rPr>
        <w:t>Learning Disabilities Working Group</w:t>
      </w:r>
      <w:r w:rsidR="00ED4B93">
        <w:rPr>
          <w:b/>
        </w:rPr>
        <w:br/>
      </w:r>
    </w:p>
    <w:p w:rsidR="00D91981" w:rsidRDefault="00ED4B93" w:rsidP="00D91981">
      <w:pPr>
        <w:pStyle w:val="ListParagraph"/>
        <w:ind w:left="0"/>
      </w:pPr>
      <w:r w:rsidRPr="00ED4B93">
        <w:t>PPM 8 on Learning Disabilities was released in 1982. It contains</w:t>
      </w:r>
      <w:r w:rsidR="00D91981">
        <w:t xml:space="preserve"> </w:t>
      </w:r>
      <w:r w:rsidRPr="00ED4B93">
        <w:t>sections that are obsolete and references, resources or programs</w:t>
      </w:r>
      <w:r w:rsidR="00D91981">
        <w:t xml:space="preserve"> </w:t>
      </w:r>
      <w:r w:rsidRPr="00ED4B93">
        <w:t>that are outdated or no longer exist. One of the mandate</w:t>
      </w:r>
      <w:r w:rsidR="00D91981">
        <w:t>s</w:t>
      </w:r>
      <w:r w:rsidRPr="00ED4B93">
        <w:t xml:space="preserve"> of the Learning Disabilities Working Group’s (LDWG) is to review and assess the relevance and currency of PPM</w:t>
      </w:r>
      <w:r w:rsidR="00D91981">
        <w:t xml:space="preserve"> 8 and provide advice to the M</w:t>
      </w:r>
      <w:r w:rsidRPr="00ED4B93">
        <w:t xml:space="preserve">inistry. The LDWG reviewed </w:t>
      </w:r>
      <w:r w:rsidR="00D91981">
        <w:t xml:space="preserve">the current </w:t>
      </w:r>
      <w:r w:rsidRPr="00ED4B93">
        <w:t xml:space="preserve">PPM 8 and offered feedback and suggestions at the September and </w:t>
      </w:r>
      <w:r w:rsidRPr="00D91981">
        <w:t>November 2011 meetings</w:t>
      </w:r>
      <w:r w:rsidR="00D91981">
        <w:t xml:space="preserve">. This feedback </w:t>
      </w:r>
      <w:r w:rsidRPr="00D91981">
        <w:t xml:space="preserve">informed the development of a </w:t>
      </w:r>
      <w:r w:rsidR="00D91981">
        <w:t xml:space="preserve">new </w:t>
      </w:r>
      <w:r w:rsidRPr="00D91981">
        <w:t>draft PPM on Learning Disabilities t</w:t>
      </w:r>
      <w:r w:rsidR="00D91981">
        <w:t>hat was presented at the January meeting. The LDWG reviewed this</w:t>
      </w:r>
      <w:r w:rsidR="00D91981" w:rsidRPr="00D91981">
        <w:t xml:space="preserve"> draft PPM </w:t>
      </w:r>
      <w:r w:rsidR="00D91981">
        <w:t>and provided feedback which the Ministry will take</w:t>
      </w:r>
      <w:r w:rsidR="00D91981" w:rsidRPr="00D91981">
        <w:t xml:space="preserve"> under consideration in </w:t>
      </w:r>
      <w:r w:rsidR="00D91981">
        <w:t xml:space="preserve">developing </w:t>
      </w:r>
      <w:r w:rsidR="00D91981" w:rsidRPr="00D91981">
        <w:t>the next draft.</w:t>
      </w:r>
    </w:p>
    <w:p w:rsidR="00D91981" w:rsidRPr="00D91981" w:rsidRDefault="00D91981" w:rsidP="00D91981">
      <w:pPr>
        <w:pStyle w:val="ListParagraph"/>
        <w:ind w:left="0"/>
      </w:pPr>
      <w:r>
        <w:t>The next meeting of the LDWG will be in early March.</w:t>
      </w:r>
      <w:r w:rsidRPr="00D91981">
        <w:t xml:space="preserve"> </w:t>
      </w:r>
    </w:p>
    <w:p w:rsidR="00302A5F" w:rsidRDefault="00302A5F" w:rsidP="00D40297">
      <w:pPr>
        <w:pStyle w:val="ListParagraph"/>
        <w:ind w:left="0"/>
        <w:rPr>
          <w:b/>
        </w:rPr>
      </w:pPr>
    </w:p>
    <w:p w:rsidR="00D40297" w:rsidRDefault="00D91981" w:rsidP="00D40297">
      <w:pPr>
        <w:rPr>
          <w:b/>
        </w:rPr>
      </w:pPr>
      <w:r>
        <w:rPr>
          <w:b/>
        </w:rPr>
        <w:t xml:space="preserve">4. </w:t>
      </w:r>
      <w:r w:rsidR="00D40297" w:rsidRPr="00D40297">
        <w:rPr>
          <w:b/>
        </w:rPr>
        <w:t>Additional Qualification (AQ) courses</w:t>
      </w:r>
    </w:p>
    <w:p w:rsidR="00302A5F" w:rsidRPr="00302A5F" w:rsidRDefault="00302A5F" w:rsidP="00D40297">
      <w:r>
        <w:t xml:space="preserve">Your SEAC may be looking at the draft revised AQ courses that the Ontario College of Teachers has out for consultation: </w:t>
      </w:r>
    </w:p>
    <w:p w:rsidR="00D40297" w:rsidRPr="00302A5F" w:rsidRDefault="00302A5F" w:rsidP="00D40297">
      <w:pPr>
        <w:rPr>
          <w:b/>
          <w:lang w:val="en-CA"/>
        </w:rPr>
      </w:pPr>
      <w:r w:rsidRPr="00302A5F">
        <w:rPr>
          <w:b/>
          <w:lang w:val="en-CA"/>
        </w:rPr>
        <w:t>Schedule C</w:t>
      </w:r>
    </w:p>
    <w:tbl>
      <w:tblPr>
        <w:tblW w:w="4950" w:type="pct"/>
        <w:tblCellMar>
          <w:left w:w="0" w:type="dxa"/>
          <w:right w:w="0" w:type="dxa"/>
        </w:tblCellMar>
        <w:tblLook w:val="04A0"/>
      </w:tblPr>
      <w:tblGrid>
        <w:gridCol w:w="3689"/>
        <w:gridCol w:w="1702"/>
        <w:gridCol w:w="1890"/>
        <w:gridCol w:w="1985"/>
      </w:tblGrid>
      <w:tr w:rsidR="00D40297" w:rsidRPr="00D40297" w:rsidTr="00D40297">
        <w:tc>
          <w:tcPr>
            <w:tcW w:w="1950" w:type="pct"/>
            <w:tcBorders>
              <w:top w:val="nil"/>
              <w:left w:val="nil"/>
              <w:bottom w:val="single" w:sz="8" w:space="0" w:color="000000"/>
              <w:right w:val="single" w:sz="18" w:space="0" w:color="000000"/>
            </w:tcBorders>
            <w:vAlign w:val="bottom"/>
            <w:hideMark/>
          </w:tcPr>
          <w:p w:rsidR="00D40297" w:rsidRPr="00D40297" w:rsidRDefault="00D40297" w:rsidP="00D40297">
            <w:r w:rsidRPr="00D40297">
              <w:rPr>
                <w:bCs/>
              </w:rPr>
              <w:t>Qualification</w:t>
            </w:r>
          </w:p>
        </w:tc>
        <w:tc>
          <w:tcPr>
            <w:tcW w:w="900" w:type="pct"/>
            <w:tcBorders>
              <w:top w:val="nil"/>
              <w:left w:val="nil"/>
              <w:bottom w:val="single" w:sz="8" w:space="0" w:color="000000"/>
              <w:right w:val="single" w:sz="18" w:space="0" w:color="000000"/>
            </w:tcBorders>
            <w:vAlign w:val="bottom"/>
            <w:hideMark/>
          </w:tcPr>
          <w:p w:rsidR="00D40297" w:rsidRPr="00D40297" w:rsidRDefault="00D40297" w:rsidP="00D40297">
            <w:r w:rsidRPr="00D40297">
              <w:rPr>
                <w:bCs/>
              </w:rPr>
              <w:t>Draft Guideline</w:t>
            </w:r>
          </w:p>
        </w:tc>
        <w:tc>
          <w:tcPr>
            <w:tcW w:w="1000" w:type="pct"/>
            <w:tcBorders>
              <w:top w:val="nil"/>
              <w:left w:val="nil"/>
              <w:bottom w:val="single" w:sz="8" w:space="0" w:color="000000"/>
              <w:right w:val="single" w:sz="18" w:space="0" w:color="000000"/>
            </w:tcBorders>
            <w:vAlign w:val="bottom"/>
            <w:hideMark/>
          </w:tcPr>
          <w:p w:rsidR="00D40297" w:rsidRPr="00D40297" w:rsidRDefault="00D40297" w:rsidP="00D40297">
            <w:r w:rsidRPr="00D40297">
              <w:rPr>
                <w:bCs/>
              </w:rPr>
              <w:t>Feedback Form</w:t>
            </w:r>
          </w:p>
        </w:tc>
        <w:tc>
          <w:tcPr>
            <w:tcW w:w="1050" w:type="pct"/>
            <w:tcBorders>
              <w:top w:val="nil"/>
              <w:left w:val="nil"/>
              <w:bottom w:val="single" w:sz="8" w:space="0" w:color="000000"/>
              <w:right w:val="nil"/>
            </w:tcBorders>
            <w:vAlign w:val="bottom"/>
            <w:hideMark/>
          </w:tcPr>
          <w:p w:rsidR="00D40297" w:rsidRPr="00D40297" w:rsidRDefault="00D40297" w:rsidP="00D40297">
            <w:r w:rsidRPr="00D40297">
              <w:rPr>
                <w:bCs/>
              </w:rPr>
              <w:t>Due by</w:t>
            </w:r>
          </w:p>
        </w:tc>
      </w:tr>
      <w:tr w:rsidR="00D40297" w:rsidRPr="00D40297" w:rsidTr="00D40297">
        <w:tc>
          <w:tcPr>
            <w:tcW w:w="1950" w:type="pct"/>
            <w:tcBorders>
              <w:top w:val="nil"/>
              <w:left w:val="nil"/>
              <w:bottom w:val="single" w:sz="18" w:space="0" w:color="000000"/>
              <w:right w:val="single" w:sz="18" w:space="0" w:color="000000"/>
            </w:tcBorders>
            <w:vAlign w:val="bottom"/>
            <w:hideMark/>
          </w:tcPr>
          <w:p w:rsidR="00D40297" w:rsidRPr="00D40297" w:rsidRDefault="00D40297" w:rsidP="00D40297">
            <w:r w:rsidRPr="00D40297">
              <w:rPr>
                <w:bCs/>
              </w:rPr>
              <w:t>Orientation to Teaching in Ontario</w:t>
            </w:r>
          </w:p>
        </w:tc>
        <w:tc>
          <w:tcPr>
            <w:tcW w:w="900" w:type="pct"/>
            <w:tcBorders>
              <w:top w:val="nil"/>
              <w:left w:val="nil"/>
              <w:bottom w:val="single" w:sz="18" w:space="0" w:color="000000"/>
              <w:right w:val="single" w:sz="18" w:space="0" w:color="000000"/>
            </w:tcBorders>
            <w:vAlign w:val="bottom"/>
            <w:hideMark/>
          </w:tcPr>
          <w:p w:rsidR="00D40297" w:rsidRPr="00D40297" w:rsidRDefault="00F958B5" w:rsidP="00D40297">
            <w:hyperlink r:id="rId8"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61" name="Picture 6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single" w:sz="18" w:space="0" w:color="000000"/>
              <w:right w:val="single" w:sz="18" w:space="0" w:color="000000"/>
            </w:tcBorders>
            <w:vAlign w:val="bottom"/>
            <w:hideMark/>
          </w:tcPr>
          <w:p w:rsidR="00D40297" w:rsidRPr="00D40297" w:rsidRDefault="00F958B5" w:rsidP="00D40297">
            <w:hyperlink r:id="rId11"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62" name="Picture 6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tcBorders>
              <w:top w:val="nil"/>
              <w:left w:val="nil"/>
              <w:bottom w:val="single" w:sz="18" w:space="0" w:color="000000"/>
              <w:right w:val="nil"/>
            </w:tcBorders>
            <w:vAlign w:val="bottom"/>
            <w:hideMark/>
          </w:tcPr>
          <w:p w:rsidR="00D40297" w:rsidRPr="00D40297" w:rsidRDefault="00D40297" w:rsidP="00D40297">
            <w:r w:rsidRPr="00D40297">
              <w:rPr>
                <w:bCs/>
              </w:rPr>
              <w:t>February 2, 2012</w:t>
            </w:r>
          </w:p>
        </w:tc>
      </w:tr>
      <w:tr w:rsidR="00D40297" w:rsidRPr="00D40297" w:rsidTr="00D40297">
        <w:tc>
          <w:tcPr>
            <w:tcW w:w="1950" w:type="pct"/>
            <w:tcBorders>
              <w:top w:val="nil"/>
              <w:left w:val="nil"/>
              <w:bottom w:val="single" w:sz="18" w:space="0" w:color="000000"/>
              <w:right w:val="single" w:sz="18" w:space="0" w:color="000000"/>
            </w:tcBorders>
            <w:vAlign w:val="bottom"/>
            <w:hideMark/>
          </w:tcPr>
          <w:p w:rsidR="00D40297" w:rsidRPr="00D40297" w:rsidRDefault="00D40297" w:rsidP="00D40297">
            <w:r w:rsidRPr="00D40297">
              <w:rPr>
                <w:bCs/>
              </w:rPr>
              <w:t>Teaching Students with Behavioural Needs</w:t>
            </w:r>
          </w:p>
        </w:tc>
        <w:tc>
          <w:tcPr>
            <w:tcW w:w="900" w:type="pct"/>
            <w:tcBorders>
              <w:top w:val="nil"/>
              <w:left w:val="nil"/>
              <w:bottom w:val="single" w:sz="18" w:space="0" w:color="000000"/>
              <w:right w:val="single" w:sz="18" w:space="0" w:color="000000"/>
            </w:tcBorders>
            <w:vAlign w:val="bottom"/>
            <w:hideMark/>
          </w:tcPr>
          <w:p w:rsidR="00D40297" w:rsidRPr="00D40297" w:rsidRDefault="00F958B5" w:rsidP="00D40297">
            <w:hyperlink r:id="rId14"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63" name="Picture 6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single" w:sz="18" w:space="0" w:color="000000"/>
              <w:right w:val="single" w:sz="18" w:space="0" w:color="000000"/>
            </w:tcBorders>
            <w:vAlign w:val="bottom"/>
            <w:hideMark/>
          </w:tcPr>
          <w:p w:rsidR="00D40297" w:rsidRPr="00D40297" w:rsidRDefault="00F958B5" w:rsidP="00D40297">
            <w:hyperlink r:id="rId15"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64" name="Picture 64"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tcBorders>
              <w:top w:val="nil"/>
              <w:left w:val="nil"/>
              <w:bottom w:val="single" w:sz="18" w:space="0" w:color="000000"/>
              <w:right w:val="nil"/>
            </w:tcBorders>
            <w:vAlign w:val="bottom"/>
            <w:hideMark/>
          </w:tcPr>
          <w:p w:rsidR="00D40297" w:rsidRPr="00D40297" w:rsidRDefault="00D40297" w:rsidP="00D40297">
            <w:r w:rsidRPr="00D40297">
              <w:rPr>
                <w:bCs/>
              </w:rPr>
              <w:t>April 12, 2012</w:t>
            </w:r>
          </w:p>
        </w:tc>
      </w:tr>
      <w:tr w:rsidR="00D40297" w:rsidRPr="00D40297" w:rsidTr="00D40297">
        <w:tc>
          <w:tcPr>
            <w:tcW w:w="1950" w:type="pct"/>
            <w:tcBorders>
              <w:top w:val="nil"/>
              <w:left w:val="nil"/>
              <w:bottom w:val="single" w:sz="18" w:space="0" w:color="000000"/>
              <w:right w:val="single" w:sz="18" w:space="0" w:color="000000"/>
            </w:tcBorders>
            <w:vAlign w:val="bottom"/>
            <w:hideMark/>
          </w:tcPr>
          <w:p w:rsidR="00D40297" w:rsidRPr="00D40297" w:rsidRDefault="00D40297" w:rsidP="00D40297">
            <w:r w:rsidRPr="00D40297">
              <w:rPr>
                <w:bCs/>
              </w:rPr>
              <w:t>Teaching Students with Communication Needs (Learning Disability)</w:t>
            </w:r>
          </w:p>
        </w:tc>
        <w:tc>
          <w:tcPr>
            <w:tcW w:w="900" w:type="pct"/>
            <w:tcBorders>
              <w:top w:val="nil"/>
              <w:left w:val="nil"/>
              <w:bottom w:val="single" w:sz="18" w:space="0" w:color="000000"/>
              <w:right w:val="single" w:sz="18" w:space="0" w:color="000000"/>
            </w:tcBorders>
            <w:vAlign w:val="bottom"/>
            <w:hideMark/>
          </w:tcPr>
          <w:p w:rsidR="00D40297" w:rsidRPr="00D40297" w:rsidRDefault="00F958B5" w:rsidP="00D40297">
            <w:hyperlink r:id="rId16"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65" name="Picture 6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single" w:sz="18" w:space="0" w:color="000000"/>
              <w:right w:val="single" w:sz="18" w:space="0" w:color="000000"/>
            </w:tcBorders>
            <w:vAlign w:val="bottom"/>
            <w:hideMark/>
          </w:tcPr>
          <w:p w:rsidR="00D40297" w:rsidRPr="00D40297" w:rsidRDefault="00F958B5" w:rsidP="00D40297">
            <w:hyperlink r:id="rId17"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66" name="Picture 66"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tcBorders>
              <w:top w:val="nil"/>
              <w:left w:val="nil"/>
              <w:bottom w:val="single" w:sz="18" w:space="0" w:color="000000"/>
              <w:right w:val="nil"/>
            </w:tcBorders>
            <w:vAlign w:val="bottom"/>
            <w:hideMark/>
          </w:tcPr>
          <w:p w:rsidR="00D40297" w:rsidRPr="00D40297" w:rsidRDefault="00D40297" w:rsidP="00D40297">
            <w:r w:rsidRPr="00D40297">
              <w:rPr>
                <w:bCs/>
              </w:rPr>
              <w:t>April 12, 2012</w:t>
            </w:r>
          </w:p>
        </w:tc>
      </w:tr>
      <w:tr w:rsidR="00D40297" w:rsidRPr="00D40297" w:rsidTr="00D40297">
        <w:tc>
          <w:tcPr>
            <w:tcW w:w="1950" w:type="pct"/>
            <w:tcBorders>
              <w:top w:val="nil"/>
              <w:left w:val="nil"/>
              <w:bottom w:val="single" w:sz="18" w:space="0" w:color="000000"/>
              <w:right w:val="single" w:sz="18" w:space="0" w:color="000000"/>
            </w:tcBorders>
            <w:vAlign w:val="bottom"/>
            <w:hideMark/>
          </w:tcPr>
          <w:p w:rsidR="00D40297" w:rsidRPr="00D40297" w:rsidRDefault="00D40297" w:rsidP="00D40297">
            <w:r w:rsidRPr="00D40297">
              <w:rPr>
                <w:bCs/>
              </w:rPr>
              <w:t>Teaching Students with Intellectual Needs (Developmental Disability)</w:t>
            </w:r>
          </w:p>
        </w:tc>
        <w:tc>
          <w:tcPr>
            <w:tcW w:w="900" w:type="pct"/>
            <w:tcBorders>
              <w:top w:val="nil"/>
              <w:left w:val="nil"/>
              <w:bottom w:val="single" w:sz="18" w:space="0" w:color="000000"/>
              <w:right w:val="single" w:sz="18" w:space="0" w:color="000000"/>
            </w:tcBorders>
            <w:vAlign w:val="bottom"/>
            <w:hideMark/>
          </w:tcPr>
          <w:p w:rsidR="00D40297" w:rsidRPr="00D40297" w:rsidRDefault="00F958B5" w:rsidP="00D40297">
            <w:hyperlink r:id="rId18"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67" name="Picture 67"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single" w:sz="18" w:space="0" w:color="000000"/>
              <w:right w:val="single" w:sz="18" w:space="0" w:color="000000"/>
            </w:tcBorders>
            <w:vAlign w:val="bottom"/>
            <w:hideMark/>
          </w:tcPr>
          <w:p w:rsidR="00D40297" w:rsidRPr="00D40297" w:rsidRDefault="00F958B5" w:rsidP="00D40297">
            <w:hyperlink r:id="rId19"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68" name="Picture 68"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tcBorders>
              <w:top w:val="nil"/>
              <w:left w:val="nil"/>
              <w:bottom w:val="single" w:sz="18" w:space="0" w:color="000000"/>
              <w:right w:val="nil"/>
            </w:tcBorders>
            <w:vAlign w:val="bottom"/>
            <w:hideMark/>
          </w:tcPr>
          <w:p w:rsidR="00D40297" w:rsidRPr="00D40297" w:rsidRDefault="00D40297" w:rsidP="00D40297">
            <w:r w:rsidRPr="00D40297">
              <w:rPr>
                <w:bCs/>
              </w:rPr>
              <w:t>April 12, 2012</w:t>
            </w:r>
          </w:p>
        </w:tc>
      </w:tr>
      <w:tr w:rsidR="00D40297" w:rsidRPr="00D40297" w:rsidTr="00D40297">
        <w:tc>
          <w:tcPr>
            <w:tcW w:w="1950" w:type="pct"/>
            <w:tcBorders>
              <w:top w:val="nil"/>
              <w:left w:val="nil"/>
              <w:bottom w:val="single" w:sz="18" w:space="0" w:color="000000"/>
              <w:right w:val="single" w:sz="18" w:space="0" w:color="000000"/>
            </w:tcBorders>
            <w:vAlign w:val="bottom"/>
            <w:hideMark/>
          </w:tcPr>
          <w:p w:rsidR="00D40297" w:rsidRPr="00D40297" w:rsidRDefault="00D40297" w:rsidP="00D40297">
            <w:r w:rsidRPr="00D40297">
              <w:rPr>
                <w:bCs/>
              </w:rPr>
              <w:t>Teaching Students with Intellectual Needs (Mild Intellectual Disability)</w:t>
            </w:r>
          </w:p>
        </w:tc>
        <w:tc>
          <w:tcPr>
            <w:tcW w:w="900" w:type="pct"/>
            <w:tcBorders>
              <w:top w:val="nil"/>
              <w:left w:val="nil"/>
              <w:bottom w:val="single" w:sz="18" w:space="0" w:color="000000"/>
              <w:right w:val="single" w:sz="18" w:space="0" w:color="000000"/>
            </w:tcBorders>
            <w:vAlign w:val="bottom"/>
            <w:hideMark/>
          </w:tcPr>
          <w:p w:rsidR="00D40297" w:rsidRPr="00D40297" w:rsidRDefault="00F958B5" w:rsidP="00D40297">
            <w:hyperlink r:id="rId20"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69" name="Picture 69"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single" w:sz="18" w:space="0" w:color="000000"/>
              <w:right w:val="single" w:sz="18" w:space="0" w:color="000000"/>
            </w:tcBorders>
            <w:vAlign w:val="bottom"/>
            <w:hideMark/>
          </w:tcPr>
          <w:p w:rsidR="00D40297" w:rsidRPr="00D40297" w:rsidRDefault="00F958B5" w:rsidP="00D40297">
            <w:hyperlink r:id="rId21"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70" name="Picture 70"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tcBorders>
              <w:top w:val="nil"/>
              <w:left w:val="nil"/>
              <w:bottom w:val="single" w:sz="18" w:space="0" w:color="000000"/>
              <w:right w:val="nil"/>
            </w:tcBorders>
            <w:vAlign w:val="bottom"/>
            <w:hideMark/>
          </w:tcPr>
          <w:p w:rsidR="00D40297" w:rsidRPr="00D40297" w:rsidRDefault="00D40297" w:rsidP="00D40297">
            <w:r w:rsidRPr="00D40297">
              <w:rPr>
                <w:bCs/>
              </w:rPr>
              <w:t>April 12, 2012</w:t>
            </w:r>
          </w:p>
        </w:tc>
      </w:tr>
      <w:tr w:rsidR="00D40297" w:rsidRPr="00D40297" w:rsidTr="00D40297">
        <w:tc>
          <w:tcPr>
            <w:tcW w:w="1950" w:type="pct"/>
            <w:tcBorders>
              <w:top w:val="nil"/>
              <w:left w:val="nil"/>
              <w:bottom w:val="nil"/>
              <w:right w:val="single" w:sz="18" w:space="0" w:color="000000"/>
            </w:tcBorders>
            <w:vAlign w:val="bottom"/>
            <w:hideMark/>
          </w:tcPr>
          <w:p w:rsidR="00D40297" w:rsidRPr="00D40297" w:rsidRDefault="00D40297" w:rsidP="00D40297">
            <w:r w:rsidRPr="00D40297">
              <w:rPr>
                <w:bCs/>
              </w:rPr>
              <w:t>Teaching Students with Multiple Needs</w:t>
            </w:r>
          </w:p>
        </w:tc>
        <w:tc>
          <w:tcPr>
            <w:tcW w:w="900" w:type="pct"/>
            <w:tcBorders>
              <w:top w:val="nil"/>
              <w:left w:val="nil"/>
              <w:bottom w:val="nil"/>
              <w:right w:val="single" w:sz="18" w:space="0" w:color="000000"/>
            </w:tcBorders>
            <w:vAlign w:val="bottom"/>
            <w:hideMark/>
          </w:tcPr>
          <w:p w:rsidR="00D40297" w:rsidRPr="00D40297" w:rsidRDefault="00F958B5" w:rsidP="00D40297">
            <w:hyperlink r:id="rId22" w:tgtFrame="_blank" w:history="1">
              <w:r w:rsidR="00D40297" w:rsidRPr="00D40297">
                <w:rPr>
                  <w:rStyle w:val="Hyperlink"/>
                  <w:bCs/>
                </w:rPr>
                <w:t>Guideline</w:t>
              </w:r>
              <w:r w:rsidR="00D40297" w:rsidRPr="00D40297">
                <w:rPr>
                  <w:rStyle w:val="Hyperlink"/>
                  <w:bCs/>
                  <w:noProof/>
                </w:rPr>
                <w:drawing>
                  <wp:inline distT="0" distB="0" distL="0" distR="0">
                    <wp:extent cx="114300" cy="114300"/>
                    <wp:effectExtent l="19050" t="0" r="0" b="0"/>
                    <wp:docPr id="71" name="Picture 7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DF)"/>
                            <pic:cNvPicPr>
                              <a:picLocks noChangeAspect="1" noChangeArrowheads="1"/>
                            </pic:cNvPicPr>
                          </pic:nvPicPr>
                          <pic:blipFill>
                            <a:blip r:embed="rId9" r:link="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00" w:type="pct"/>
            <w:tcBorders>
              <w:top w:val="nil"/>
              <w:left w:val="nil"/>
              <w:bottom w:val="nil"/>
              <w:right w:val="single" w:sz="18" w:space="0" w:color="000000"/>
            </w:tcBorders>
            <w:vAlign w:val="bottom"/>
            <w:hideMark/>
          </w:tcPr>
          <w:p w:rsidR="00D40297" w:rsidRPr="00D40297" w:rsidRDefault="00F958B5" w:rsidP="00D40297">
            <w:hyperlink r:id="rId23" w:tgtFrame="_blank" w:history="1">
              <w:r w:rsidR="00D40297" w:rsidRPr="00D40297">
                <w:rPr>
                  <w:rStyle w:val="Hyperlink"/>
                  <w:bCs/>
                </w:rPr>
                <w:t>Feedback Form</w:t>
              </w:r>
              <w:r w:rsidR="00D40297" w:rsidRPr="00D40297">
                <w:rPr>
                  <w:rStyle w:val="Hyperlink"/>
                  <w:bCs/>
                  <w:noProof/>
                </w:rPr>
                <w:drawing>
                  <wp:inline distT="0" distB="0" distL="0" distR="0">
                    <wp:extent cx="114300" cy="114300"/>
                    <wp:effectExtent l="19050" t="0" r="0" b="0"/>
                    <wp:docPr id="72" name="Picture 7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OC)"/>
                            <pic:cNvPicPr>
                              <a:picLocks noChangeAspect="1" noChangeArrowheads="1"/>
                            </pic:cNvPicPr>
                          </pic:nvPicPr>
                          <pic:blipFill>
                            <a:blip r:embed="rId12" r:link="rId13"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hyperlink>
          </w:p>
        </w:tc>
        <w:tc>
          <w:tcPr>
            <w:tcW w:w="1050" w:type="pct"/>
            <w:vAlign w:val="bottom"/>
            <w:hideMark/>
          </w:tcPr>
          <w:p w:rsidR="00D40297" w:rsidRPr="00D40297" w:rsidRDefault="00D40297" w:rsidP="00D40297">
            <w:r w:rsidRPr="00D40297">
              <w:rPr>
                <w:bCs/>
              </w:rPr>
              <w:t>April 12, 2012</w:t>
            </w:r>
          </w:p>
        </w:tc>
      </w:tr>
    </w:tbl>
    <w:p w:rsidR="007067E6" w:rsidRDefault="000B41B5" w:rsidP="00295BF2">
      <w:pPr>
        <w:rPr>
          <w:lang w:val="en-CA"/>
        </w:rPr>
      </w:pPr>
      <w:r>
        <w:rPr>
          <w:lang w:val="en-CA"/>
        </w:rPr>
        <w:lastRenderedPageBreak/>
        <w:br/>
      </w:r>
      <w:r w:rsidR="00D40297" w:rsidRPr="00D40297">
        <w:rPr>
          <w:lang w:val="en-CA"/>
        </w:rPr>
        <w:t>The College</w:t>
      </w:r>
      <w:r>
        <w:rPr>
          <w:lang w:val="en-CA"/>
        </w:rPr>
        <w:t xml:space="preserve"> has</w:t>
      </w:r>
      <w:r w:rsidR="00D40297" w:rsidRPr="00D40297">
        <w:rPr>
          <w:lang w:val="en-CA"/>
        </w:rPr>
        <w:t xml:space="preserve"> invite</w:t>
      </w:r>
      <w:r>
        <w:rPr>
          <w:lang w:val="en-CA"/>
        </w:rPr>
        <w:t>d</w:t>
      </w:r>
      <w:r w:rsidR="00D40297" w:rsidRPr="00D40297">
        <w:rPr>
          <w:lang w:val="en-CA"/>
        </w:rPr>
        <w:t xml:space="preserve"> feedback to these draft guidelines. The feedback will inform the final versions of these guidelines to ensure they reflect the necessary professional knowledge, skills and practice required of educators related to these specific areas of focus.</w:t>
      </w:r>
    </w:p>
    <w:p w:rsidR="007D639C" w:rsidRDefault="00302A5F" w:rsidP="00295BF2">
      <w:pPr>
        <w:rPr>
          <w:lang w:val="en-CA"/>
        </w:rPr>
      </w:pPr>
      <w:r>
        <w:rPr>
          <w:lang w:val="en-CA"/>
        </w:rPr>
        <w:t xml:space="preserve">LDAO has submitted proposed revisions to the </w:t>
      </w:r>
      <w:r w:rsidRPr="00302A5F">
        <w:rPr>
          <w:bCs/>
          <w:i/>
        </w:rPr>
        <w:t>Teaching Students with Communication Needs (Learning Disability)</w:t>
      </w:r>
      <w:r>
        <w:rPr>
          <w:bCs/>
        </w:rPr>
        <w:t xml:space="preserve"> AQ, which </w:t>
      </w:r>
      <w:r w:rsidR="007D639C">
        <w:rPr>
          <w:bCs/>
        </w:rPr>
        <w:t xml:space="preserve">is </w:t>
      </w:r>
      <w:r>
        <w:rPr>
          <w:bCs/>
        </w:rPr>
        <w:t>attached for your information</w:t>
      </w:r>
      <w:r w:rsidR="007D639C">
        <w:rPr>
          <w:bCs/>
        </w:rPr>
        <w:t>.</w:t>
      </w:r>
    </w:p>
    <w:p w:rsidR="00295BF2" w:rsidRPr="007D639C" w:rsidRDefault="007D639C" w:rsidP="00295BF2">
      <w:pPr>
        <w:rPr>
          <w:bCs/>
          <w:u w:val="single"/>
        </w:rPr>
      </w:pPr>
      <w:r w:rsidRPr="007D639C">
        <w:rPr>
          <w:u w:val="single"/>
        </w:rPr>
        <w:t xml:space="preserve">LDAO reps should refer to the LDAO </w:t>
      </w:r>
      <w:r w:rsidRPr="007D639C">
        <w:rPr>
          <w:u w:val="single"/>
          <w:lang w:val="en-CA"/>
        </w:rPr>
        <w:t xml:space="preserve">proposed revisions to the </w:t>
      </w:r>
      <w:r w:rsidRPr="007D639C">
        <w:rPr>
          <w:bCs/>
          <w:i/>
          <w:u w:val="single"/>
        </w:rPr>
        <w:t>Teaching Students with Communication Needs (Learning Disability)</w:t>
      </w:r>
      <w:r w:rsidRPr="007D639C">
        <w:rPr>
          <w:bCs/>
          <w:u w:val="single"/>
        </w:rPr>
        <w:t xml:space="preserve"> AQ </w:t>
      </w:r>
      <w:r>
        <w:rPr>
          <w:bCs/>
          <w:u w:val="single"/>
        </w:rPr>
        <w:t>when</w:t>
      </w:r>
      <w:r w:rsidRPr="007D639C">
        <w:rPr>
          <w:bCs/>
          <w:u w:val="single"/>
        </w:rPr>
        <w:t xml:space="preserve"> providing their feedback.</w:t>
      </w:r>
      <w:r w:rsidR="007067E6" w:rsidRPr="007D639C">
        <w:rPr>
          <w:bCs/>
          <w:u w:val="single"/>
        </w:rPr>
        <w:br/>
      </w:r>
    </w:p>
    <w:p w:rsidR="000B41B5" w:rsidRDefault="000B41B5" w:rsidP="00295BF2">
      <w:pPr>
        <w:rPr>
          <w:b/>
        </w:rPr>
      </w:pPr>
    </w:p>
    <w:p w:rsidR="00295BF2" w:rsidRPr="00295BF2" w:rsidRDefault="00295BF2" w:rsidP="00295BF2">
      <w:pPr>
        <w:rPr>
          <w:b/>
          <w:bCs/>
        </w:rPr>
      </w:pPr>
      <w:r w:rsidRPr="00295BF2">
        <w:rPr>
          <w:b/>
        </w:rPr>
        <w:t xml:space="preserve">5.   Revised draft of </w:t>
      </w:r>
      <w:r w:rsidRPr="00295BF2">
        <w:rPr>
          <w:b/>
          <w:i/>
        </w:rPr>
        <w:t>Learning for All</w:t>
      </w:r>
    </w:p>
    <w:p w:rsidR="00295BF2" w:rsidRDefault="00295BF2" w:rsidP="00295BF2">
      <w:pPr>
        <w:rPr>
          <w:bCs/>
          <w:u w:val="single"/>
        </w:rPr>
      </w:pPr>
      <w:r w:rsidRPr="00295BF2">
        <w:rPr>
          <w:bCs/>
        </w:rPr>
        <w:t xml:space="preserve"> A revised </w:t>
      </w:r>
      <w:r w:rsidRPr="00295BF2">
        <w:rPr>
          <w:bCs/>
          <w:i/>
          <w:iCs/>
        </w:rPr>
        <w:t xml:space="preserve">Learning for All, K-12 (Draft 2011) </w:t>
      </w:r>
      <w:r w:rsidRPr="00295BF2">
        <w:rPr>
          <w:bCs/>
        </w:rPr>
        <w:t xml:space="preserve">is now electronically released and posted on the Ministry’s website. The document is available at: </w:t>
      </w:r>
      <w:hyperlink r:id="rId24" w:history="1">
        <w:r w:rsidRPr="00E91427">
          <w:rPr>
            <w:rStyle w:val="Hyperlink"/>
            <w:bCs/>
          </w:rPr>
          <w:t>www.edu.gov.on.ca/eng/general/elemsec/speced/learning.html</w:t>
        </w:r>
      </w:hyperlink>
      <w:r>
        <w:rPr>
          <w:bCs/>
          <w:u w:val="single"/>
        </w:rPr>
        <w:t>.</w:t>
      </w:r>
    </w:p>
    <w:p w:rsidR="00ED4B93" w:rsidRPr="00ED4B93" w:rsidRDefault="00295BF2" w:rsidP="00ED4B93">
      <w:pPr>
        <w:rPr>
          <w:bCs/>
        </w:rPr>
      </w:pPr>
      <w:r>
        <w:rPr>
          <w:bCs/>
        </w:rPr>
        <w:t xml:space="preserve">Funding has been provided to school boards to </w:t>
      </w:r>
      <w:r w:rsidR="00ED4B93">
        <w:rPr>
          <w:bCs/>
        </w:rPr>
        <w:t xml:space="preserve">participate in </w:t>
      </w:r>
      <w:r w:rsidR="00ED4B93" w:rsidRPr="00ED4B93">
        <w:rPr>
          <w:bCs/>
        </w:rPr>
        <w:t>Regional Learning for All K-12 Professional Learning Communities</w:t>
      </w:r>
      <w:r w:rsidR="00ED4B93">
        <w:rPr>
          <w:bCs/>
        </w:rPr>
        <w:t xml:space="preserve">.  </w:t>
      </w:r>
      <w:r w:rsidR="007067E6" w:rsidRPr="007067E6">
        <w:rPr>
          <w:bCs/>
          <w:u w:val="single"/>
        </w:rPr>
        <w:t>SEACs should ask for regular updates on their board’s participation in these professional learning communities.</w:t>
      </w:r>
    </w:p>
    <w:p w:rsidR="00302A5F" w:rsidRDefault="00302A5F" w:rsidP="00295BF2">
      <w:pPr>
        <w:rPr>
          <w:b/>
          <w:lang w:val="en-CA"/>
        </w:rPr>
      </w:pPr>
      <w:r>
        <w:rPr>
          <w:bCs/>
        </w:rPr>
        <w:br/>
      </w:r>
      <w:r w:rsidR="007067E6" w:rsidRPr="007067E6">
        <w:rPr>
          <w:b/>
          <w:lang w:val="en-CA"/>
        </w:rPr>
        <w:t>ACTION ITEMS</w:t>
      </w:r>
    </w:p>
    <w:p w:rsidR="007067E6" w:rsidRPr="007D639C" w:rsidRDefault="007067E6" w:rsidP="007067E6">
      <w:pPr>
        <w:pStyle w:val="ListParagraph"/>
        <w:numPr>
          <w:ilvl w:val="0"/>
          <w:numId w:val="4"/>
        </w:numPr>
        <w:rPr>
          <w:b/>
          <w:lang w:val="en-CA"/>
        </w:rPr>
      </w:pPr>
      <w:r w:rsidRPr="007067E6">
        <w:rPr>
          <w:szCs w:val="22"/>
        </w:rPr>
        <w:t>SEACs should ask their boards how they plan to implement the Ministry’s directions as outlined in the memo on Categories of Exceptionalities.</w:t>
      </w:r>
    </w:p>
    <w:p w:rsidR="007D639C" w:rsidRPr="007067E6" w:rsidRDefault="007D639C" w:rsidP="007D639C">
      <w:pPr>
        <w:pStyle w:val="ListParagraph"/>
        <w:ind w:left="360"/>
        <w:rPr>
          <w:b/>
          <w:lang w:val="en-CA"/>
        </w:rPr>
      </w:pPr>
    </w:p>
    <w:p w:rsidR="007067E6" w:rsidRPr="007D639C" w:rsidRDefault="007067E6" w:rsidP="007067E6">
      <w:pPr>
        <w:pStyle w:val="ListParagraph"/>
        <w:numPr>
          <w:ilvl w:val="0"/>
          <w:numId w:val="4"/>
        </w:numPr>
        <w:rPr>
          <w:b/>
          <w:lang w:val="en-CA"/>
        </w:rPr>
      </w:pPr>
      <w:r w:rsidRPr="007067E6">
        <w:t xml:space="preserve">SEACs should ask for monthly updates on how </w:t>
      </w:r>
      <w:r>
        <w:t xml:space="preserve">the various mental health </w:t>
      </w:r>
      <w:r w:rsidRPr="007067E6">
        <w:t>initiatives are being developed and coordinated in their school board</w:t>
      </w:r>
      <w:r>
        <w:t>.</w:t>
      </w:r>
    </w:p>
    <w:p w:rsidR="007D639C" w:rsidRPr="007067E6" w:rsidRDefault="007D639C" w:rsidP="007D639C">
      <w:pPr>
        <w:pStyle w:val="ListParagraph"/>
        <w:ind w:left="360"/>
        <w:rPr>
          <w:b/>
          <w:lang w:val="en-CA"/>
        </w:rPr>
      </w:pPr>
    </w:p>
    <w:p w:rsidR="007D639C" w:rsidRPr="007D639C" w:rsidRDefault="007067E6" w:rsidP="007D639C">
      <w:pPr>
        <w:pStyle w:val="ListParagraph"/>
        <w:numPr>
          <w:ilvl w:val="0"/>
          <w:numId w:val="4"/>
        </w:numPr>
        <w:rPr>
          <w:b/>
          <w:lang w:val="en-CA"/>
        </w:rPr>
      </w:pPr>
      <w:r>
        <w:t>SEACs may cho</w:t>
      </w:r>
      <w:r w:rsidR="007D639C">
        <w:t>o</w:t>
      </w:r>
      <w:r>
        <w:t xml:space="preserve">se to discuss and provide feedback to the draft </w:t>
      </w:r>
      <w:r w:rsidR="007D639C">
        <w:t xml:space="preserve">AQ guidelines. LDAO reps should refer to the LDAO </w:t>
      </w:r>
      <w:r w:rsidR="007D639C">
        <w:rPr>
          <w:lang w:val="en-CA"/>
        </w:rPr>
        <w:t xml:space="preserve">proposed revisions to the </w:t>
      </w:r>
      <w:r w:rsidR="007D639C" w:rsidRPr="00302A5F">
        <w:rPr>
          <w:bCs/>
          <w:i/>
        </w:rPr>
        <w:t>Teaching Students with Communication Needs (Learning Disability)</w:t>
      </w:r>
      <w:r w:rsidR="000B41B5">
        <w:rPr>
          <w:bCs/>
        </w:rPr>
        <w:t xml:space="preserve"> AQ when providing their feedback. </w:t>
      </w:r>
    </w:p>
    <w:p w:rsidR="007D639C" w:rsidRPr="007D639C" w:rsidRDefault="007D639C" w:rsidP="007D639C">
      <w:pPr>
        <w:pStyle w:val="ListParagraph"/>
        <w:ind w:left="360"/>
        <w:rPr>
          <w:b/>
          <w:lang w:val="en-CA"/>
        </w:rPr>
      </w:pPr>
    </w:p>
    <w:p w:rsidR="007D639C" w:rsidRPr="007D639C" w:rsidRDefault="007D639C" w:rsidP="007067E6">
      <w:pPr>
        <w:pStyle w:val="ListParagraph"/>
        <w:numPr>
          <w:ilvl w:val="0"/>
          <w:numId w:val="4"/>
        </w:numPr>
        <w:rPr>
          <w:b/>
          <w:lang w:val="en-CA"/>
        </w:rPr>
      </w:pPr>
      <w:r w:rsidRPr="007D639C">
        <w:rPr>
          <w:bCs/>
        </w:rPr>
        <w:t>SEACs should ask for regular updates on their board’s participation in t</w:t>
      </w:r>
      <w:r>
        <w:rPr>
          <w:bCs/>
        </w:rPr>
        <w:t xml:space="preserve">he </w:t>
      </w:r>
      <w:r w:rsidRPr="00ED4B93">
        <w:rPr>
          <w:bCs/>
        </w:rPr>
        <w:t>Regional Learning for All K-12 Professional Learning Communitie</w:t>
      </w:r>
      <w:r>
        <w:rPr>
          <w:bCs/>
        </w:rPr>
        <w:t>s.</w:t>
      </w:r>
    </w:p>
    <w:p w:rsidR="007D639C" w:rsidRDefault="007D639C" w:rsidP="007D639C">
      <w:pPr>
        <w:rPr>
          <w:b/>
          <w:lang w:val="en-CA"/>
        </w:rPr>
      </w:pPr>
    </w:p>
    <w:p w:rsidR="007D639C" w:rsidRPr="007D639C" w:rsidRDefault="007D639C" w:rsidP="007D639C">
      <w:pPr>
        <w:rPr>
          <w:b/>
        </w:rPr>
      </w:pPr>
      <w:proofErr w:type="gramStart"/>
      <w:r w:rsidRPr="007D639C">
        <w:rPr>
          <w:b/>
        </w:rPr>
        <w:t>Questions?</w:t>
      </w:r>
      <w:proofErr w:type="gramEnd"/>
      <w:r w:rsidRPr="007D639C">
        <w:rPr>
          <w:b/>
        </w:rPr>
        <w:t xml:space="preserve">  E-mail:  Diane Wagner at </w:t>
      </w:r>
      <w:hyperlink r:id="rId25" w:history="1">
        <w:r w:rsidRPr="007D639C">
          <w:rPr>
            <w:rStyle w:val="Hyperlink"/>
            <w:b/>
          </w:rPr>
          <w:t>dianew@ldao.ca</w:t>
        </w:r>
      </w:hyperlink>
      <w:r w:rsidRPr="007D639C">
        <w:rPr>
          <w:b/>
        </w:rPr>
        <w:t xml:space="preserve"> or call (416) 929-4311 Ex. 22</w:t>
      </w:r>
    </w:p>
    <w:p w:rsidR="007D639C" w:rsidRPr="007D639C" w:rsidRDefault="007D639C" w:rsidP="007D639C">
      <w:pPr>
        <w:rPr>
          <w:b/>
        </w:rPr>
      </w:pPr>
    </w:p>
    <w:p w:rsidR="00D40297" w:rsidRPr="00D40297" w:rsidRDefault="00D40297" w:rsidP="00D40297">
      <w:pPr>
        <w:rPr>
          <w:b/>
          <w:lang w:val="en-CA"/>
        </w:rPr>
      </w:pPr>
    </w:p>
    <w:p w:rsidR="00D40297" w:rsidRPr="00D40297" w:rsidRDefault="00D40297" w:rsidP="00D40297"/>
    <w:p w:rsidR="00AC6F80" w:rsidRDefault="00AC6F80" w:rsidP="007D639C">
      <w:pPr>
        <w:pStyle w:val="ListParagraph"/>
        <w:ind w:left="360"/>
      </w:pPr>
      <w:r>
        <w:br/>
      </w:r>
    </w:p>
    <w:sectPr w:rsidR="00AC6F80" w:rsidSect="00BA0F66">
      <w:footerReference w:type="default" r:id="rId2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FF" w:rsidRDefault="002172FF" w:rsidP="00AC6F80">
      <w:pPr>
        <w:spacing w:after="0" w:line="240" w:lineRule="auto"/>
      </w:pPr>
      <w:r>
        <w:separator/>
      </w:r>
    </w:p>
  </w:endnote>
  <w:endnote w:type="continuationSeparator" w:id="0">
    <w:p w:rsidR="002172FF" w:rsidRDefault="002172FF" w:rsidP="00AC6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0732"/>
      <w:docPartObj>
        <w:docPartGallery w:val="Page Numbers (Bottom of Page)"/>
        <w:docPartUnique/>
      </w:docPartObj>
    </w:sdtPr>
    <w:sdtContent>
      <w:p w:rsidR="002172FF" w:rsidRDefault="002172FF">
        <w:pPr>
          <w:pStyle w:val="Footer"/>
          <w:jc w:val="right"/>
        </w:pPr>
        <w:fldSimple w:instr=" PAGE   \* MERGEFORMAT ">
          <w:r w:rsidR="000B41B5">
            <w:rPr>
              <w:noProof/>
            </w:rPr>
            <w:t>2</w:t>
          </w:r>
        </w:fldSimple>
      </w:p>
    </w:sdtContent>
  </w:sdt>
  <w:p w:rsidR="002172FF" w:rsidRDefault="00217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FF" w:rsidRDefault="002172FF" w:rsidP="00AC6F80">
      <w:pPr>
        <w:spacing w:after="0" w:line="240" w:lineRule="auto"/>
      </w:pPr>
      <w:r>
        <w:separator/>
      </w:r>
    </w:p>
  </w:footnote>
  <w:footnote w:type="continuationSeparator" w:id="0">
    <w:p w:rsidR="002172FF" w:rsidRDefault="002172FF" w:rsidP="00AC6F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66BCD1"/>
    <w:multiLevelType w:val="hybridMultilevel"/>
    <w:tmpl w:val="F3F3D3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027B25"/>
    <w:multiLevelType w:val="hybridMultilevel"/>
    <w:tmpl w:val="81D411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080319C"/>
    <w:multiLevelType w:val="hybridMultilevel"/>
    <w:tmpl w:val="AF6C3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560024"/>
    <w:multiLevelType w:val="hybridMultilevel"/>
    <w:tmpl w:val="E69C9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F80"/>
    <w:rsid w:val="0000635C"/>
    <w:rsid w:val="000B41B5"/>
    <w:rsid w:val="00143210"/>
    <w:rsid w:val="00210233"/>
    <w:rsid w:val="002172FF"/>
    <w:rsid w:val="00295BF2"/>
    <w:rsid w:val="0029712F"/>
    <w:rsid w:val="002A7449"/>
    <w:rsid w:val="00302A5F"/>
    <w:rsid w:val="0046058A"/>
    <w:rsid w:val="005847D5"/>
    <w:rsid w:val="005B2C56"/>
    <w:rsid w:val="007067E6"/>
    <w:rsid w:val="007D639C"/>
    <w:rsid w:val="00871738"/>
    <w:rsid w:val="00901765"/>
    <w:rsid w:val="009F7A4A"/>
    <w:rsid w:val="00A11C59"/>
    <w:rsid w:val="00AA47CF"/>
    <w:rsid w:val="00AC6F80"/>
    <w:rsid w:val="00BA0F66"/>
    <w:rsid w:val="00D239CE"/>
    <w:rsid w:val="00D40297"/>
    <w:rsid w:val="00D91981"/>
    <w:rsid w:val="00E5741F"/>
    <w:rsid w:val="00ED4B93"/>
    <w:rsid w:val="00F235C3"/>
    <w:rsid w:val="00F95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F80"/>
    <w:pPr>
      <w:spacing w:after="200" w:line="276" w:lineRule="auto"/>
    </w:pPr>
    <w:rPr>
      <w:rFonts w:ascii="Arial" w:eastAsia="Calibri" w:hAnsi="Arial"/>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F80"/>
    <w:pPr>
      <w:ind w:left="720"/>
      <w:contextualSpacing/>
    </w:pPr>
  </w:style>
  <w:style w:type="paragraph" w:styleId="Header">
    <w:name w:val="header"/>
    <w:basedOn w:val="Normal"/>
    <w:link w:val="HeaderChar"/>
    <w:uiPriority w:val="99"/>
    <w:semiHidden/>
    <w:unhideWhenUsed/>
    <w:rsid w:val="00AC6F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F80"/>
    <w:rPr>
      <w:rFonts w:ascii="Arial" w:eastAsia="Calibri" w:hAnsi="Arial"/>
      <w:sz w:val="22"/>
      <w:szCs w:val="24"/>
    </w:rPr>
  </w:style>
  <w:style w:type="paragraph" w:styleId="Footer">
    <w:name w:val="footer"/>
    <w:basedOn w:val="Normal"/>
    <w:link w:val="FooterChar"/>
    <w:uiPriority w:val="99"/>
    <w:unhideWhenUsed/>
    <w:rsid w:val="00AC6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F80"/>
    <w:rPr>
      <w:rFonts w:ascii="Arial" w:eastAsia="Calibri" w:hAnsi="Arial"/>
      <w:sz w:val="22"/>
      <w:szCs w:val="24"/>
    </w:rPr>
  </w:style>
  <w:style w:type="character" w:styleId="Hyperlink">
    <w:name w:val="Hyperlink"/>
    <w:basedOn w:val="DefaultParagraphFont"/>
    <w:uiPriority w:val="99"/>
    <w:unhideWhenUsed/>
    <w:rsid w:val="00D40297"/>
    <w:rPr>
      <w:color w:val="0000FF" w:themeColor="hyperlink"/>
      <w:u w:val="single"/>
    </w:rPr>
  </w:style>
  <w:style w:type="paragraph" w:styleId="BalloonText">
    <w:name w:val="Balloon Text"/>
    <w:basedOn w:val="Normal"/>
    <w:link w:val="BalloonTextChar"/>
    <w:uiPriority w:val="99"/>
    <w:semiHidden/>
    <w:unhideWhenUsed/>
    <w:rsid w:val="00D40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29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103998">
      <w:bodyDiv w:val="1"/>
      <w:marLeft w:val="0"/>
      <w:marRight w:val="0"/>
      <w:marTop w:val="0"/>
      <w:marBottom w:val="0"/>
      <w:divBdr>
        <w:top w:val="none" w:sz="0" w:space="0" w:color="auto"/>
        <w:left w:val="none" w:sz="0" w:space="0" w:color="auto"/>
        <w:bottom w:val="none" w:sz="0" w:space="0" w:color="auto"/>
        <w:right w:val="none" w:sz="0" w:space="0" w:color="auto"/>
      </w:divBdr>
    </w:div>
    <w:div w:id="15467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t.ca/additional_qualifications/drafts/pdf/orientation_to_teaching_in_ontario_e.pdf" TargetMode="External"/><Relationship Id="rId13" Type="http://schemas.openxmlformats.org/officeDocument/2006/relationships/image" Target="cid:aW1hZ2UwMDIuZ2lm@rainbowschools.ca" TargetMode="External"/><Relationship Id="rId18" Type="http://schemas.openxmlformats.org/officeDocument/2006/relationships/hyperlink" Target="http://www.oct.ca/additional_qualifications/drafts/pdf/teaching_students_with_intellectual_needs_(developmental_disability)_e.pdf"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oct.ca/additional_qualifications/drafts/feedback_forms/draft_feedback_form_e.doc" TargetMode="External"/><Relationship Id="rId7" Type="http://schemas.openxmlformats.org/officeDocument/2006/relationships/image" Target="media/image1.png"/><Relationship Id="rId12" Type="http://schemas.openxmlformats.org/officeDocument/2006/relationships/image" Target="media/image3.gif"/><Relationship Id="rId17" Type="http://schemas.openxmlformats.org/officeDocument/2006/relationships/hyperlink" Target="http://www.oct.ca/additional_qualifications/drafts/feedback_forms/draft_feedback_form_e.doc" TargetMode="External"/><Relationship Id="rId25" Type="http://schemas.openxmlformats.org/officeDocument/2006/relationships/hyperlink" Target="mailto:dianew@ldao.ca" TargetMode="External"/><Relationship Id="rId2" Type="http://schemas.openxmlformats.org/officeDocument/2006/relationships/styles" Target="styles.xml"/><Relationship Id="rId16" Type="http://schemas.openxmlformats.org/officeDocument/2006/relationships/hyperlink" Target="http://www.oct.ca/additional_qualifications/drafts/pdf/teaching_students_with_communication_needs_(learning_disability)_e.pdf" TargetMode="External"/><Relationship Id="rId20" Type="http://schemas.openxmlformats.org/officeDocument/2006/relationships/hyperlink" Target="http://www.oct.ca/additional_qualifications/drafts/pdf/teaching_students_with_intellectual_needs_(mild_intellectual_disability)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ct.ca/additional_qualifications/drafts/feedback_forms/draft_feedback_form_e.doc" TargetMode="External"/><Relationship Id="rId24" Type="http://schemas.openxmlformats.org/officeDocument/2006/relationships/hyperlink" Target="http://www.edu.gov.on.ca/eng/general/elemsec/speced/learning.html" TargetMode="External"/><Relationship Id="rId5" Type="http://schemas.openxmlformats.org/officeDocument/2006/relationships/footnotes" Target="footnotes.xml"/><Relationship Id="rId15" Type="http://schemas.openxmlformats.org/officeDocument/2006/relationships/hyperlink" Target="http://www.oct.ca/additional_qualifications/drafts/feedback_forms/draft_feedback_form_e.doc" TargetMode="External"/><Relationship Id="rId23" Type="http://schemas.openxmlformats.org/officeDocument/2006/relationships/hyperlink" Target="http://www.oct.ca/additional_qualifications/drafts/feedback_forms/draft_feedback_form_e.doc" TargetMode="External"/><Relationship Id="rId28" Type="http://schemas.openxmlformats.org/officeDocument/2006/relationships/theme" Target="theme/theme1.xml"/><Relationship Id="rId10" Type="http://schemas.openxmlformats.org/officeDocument/2006/relationships/image" Target="cid:aW1hZ2UwMDEuZ2lm@rainbowschools.ca" TargetMode="External"/><Relationship Id="rId19" Type="http://schemas.openxmlformats.org/officeDocument/2006/relationships/hyperlink" Target="http://www.oct.ca/additional_qualifications/drafts/feedback_forms/draft_feedback_form_e.doc"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oct.ca/additional_qualifications/drafts/pdf/teaching_students_with_behavioral_needs_e.pdf" TargetMode="External"/><Relationship Id="rId22" Type="http://schemas.openxmlformats.org/officeDocument/2006/relationships/hyperlink" Target="http://www.oct.ca/additional_qualifications/drafts/pdf/teaching_students_with_multiple_needs_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Wagner</dc:creator>
  <cp:lastModifiedBy>Diane Wagner</cp:lastModifiedBy>
  <cp:revision>3</cp:revision>
  <cp:lastPrinted>2012-01-31T19:21:00Z</cp:lastPrinted>
  <dcterms:created xsi:type="dcterms:W3CDTF">2012-01-23T16:07:00Z</dcterms:created>
  <dcterms:modified xsi:type="dcterms:W3CDTF">2012-01-31T19:32:00Z</dcterms:modified>
</cp:coreProperties>
</file>