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4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66"/>
        <w:gridCol w:w="5800"/>
      </w:tblGrid>
      <w:tr w:rsidR="00000000">
        <w:trPr>
          <w:trHeight w:val="81"/>
        </w:trPr>
        <w:tc>
          <w:tcPr>
            <w:tcW w:w="2000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D022D">
            <w:pPr>
              <w:spacing w:line="81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1666875" cy="552450"/>
                  <wp:effectExtent l="0" t="0" r="9525" b="0"/>
                  <wp:wrapSquare wrapText="bothSides"/>
                  <wp:docPr id="2" name="Picture 2" descr="http://media.ontarionewsroom.com/logos/ontario_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edia.ontarionewsroom.com/logos/ontario_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link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875" cy="552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00" w:type="pct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000000" w:rsidRDefault="004D022D">
            <w:pPr>
              <w:pStyle w:val="Header"/>
              <w:spacing w:line="81" w:lineRule="atLeast"/>
              <w:jc w:val="right"/>
            </w:pPr>
            <w:r>
              <w:rPr>
                <w:rFonts w:ascii="Arial Black" w:hAnsi="Arial Black"/>
                <w:b/>
                <w:bCs/>
                <w:i/>
                <w:iCs/>
                <w:color w:val="808080"/>
                <w:sz w:val="60"/>
                <w:szCs w:val="60"/>
                <w:lang w:val="en"/>
              </w:rPr>
              <w:t>NEWS</w:t>
            </w:r>
          </w:p>
        </w:tc>
      </w:tr>
      <w:tr w:rsidR="00000000">
        <w:trPr>
          <w:cantSplit/>
          <w:trHeight w:val="405"/>
        </w:trPr>
        <w:tc>
          <w:tcPr>
            <w:tcW w:w="5000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0000" w:rsidRDefault="004D022D">
            <w:pPr>
              <w:pStyle w:val="Footer"/>
              <w:jc w:val="right"/>
            </w:pPr>
            <w:r>
              <w:rPr>
                <w:b/>
                <w:bCs/>
                <w:sz w:val="20"/>
                <w:szCs w:val="20"/>
                <w:lang w:val="en"/>
              </w:rPr>
              <w:t>Ministry of Education</w:t>
            </w:r>
          </w:p>
        </w:tc>
      </w:tr>
    </w:tbl>
    <w:p w:rsidR="00000000" w:rsidRDefault="004D022D">
      <w:r>
        <w:rPr>
          <w:lang w:val="en"/>
        </w:rPr>
        <w:t> </w:t>
      </w:r>
    </w:p>
    <w:p w:rsidR="00000000" w:rsidRDefault="004D022D">
      <w:r>
        <w:rPr>
          <w:lang w:val="en"/>
        </w:rPr>
        <w:t> </w:t>
      </w:r>
    </w:p>
    <w:p w:rsidR="00000000" w:rsidRDefault="004D022D">
      <w:pPr>
        <w:jc w:val="center"/>
      </w:pPr>
      <w:r>
        <w:rPr>
          <w:b/>
          <w:bCs/>
          <w:sz w:val="28"/>
          <w:szCs w:val="28"/>
          <w:lang w:val="en"/>
        </w:rPr>
        <w:t xml:space="preserve">Ontario Boosting Opportunities for Students' Long-Term Success </w:t>
      </w:r>
    </w:p>
    <w:p w:rsidR="00000000" w:rsidRDefault="004D022D">
      <w:pPr>
        <w:pStyle w:val="Heading2"/>
        <w:rPr>
          <w:rFonts w:eastAsia="Times New Roman" w:cs="Arial"/>
        </w:rPr>
      </w:pPr>
      <w:r>
        <w:rPr>
          <w:rFonts w:eastAsia="Times New Roman" w:cs="Arial"/>
          <w:lang w:val="en"/>
        </w:rPr>
        <w:t xml:space="preserve">New Focus on Equity Will Better Support Students in Exploring Educational and Career Pathways </w:t>
      </w:r>
    </w:p>
    <w:p w:rsidR="00000000" w:rsidRDefault="004D022D">
      <w:pPr>
        <w:jc w:val="center"/>
      </w:pPr>
      <w:r>
        <w:rPr>
          <w:lang w:val="en"/>
        </w:rPr>
        <w:t>September 7, 2017 9:30 A.M.</w:t>
      </w:r>
    </w:p>
    <w:p w:rsidR="00000000" w:rsidRDefault="004D022D">
      <w:r>
        <w:t> </w:t>
      </w:r>
    </w:p>
    <w:p w:rsidR="00000000" w:rsidRDefault="004D022D">
      <w:pPr>
        <w:pStyle w:val="NormalWeb"/>
      </w:pPr>
      <w:r>
        <w:rPr>
          <w:rFonts w:hint="eastAsia"/>
        </w:rPr>
        <w:t xml:space="preserve">Ontario is making </w:t>
      </w:r>
      <w:r>
        <w:rPr>
          <w:rFonts w:hint="eastAsia"/>
        </w:rPr>
        <w:t>the education system fairer and more inclusive for all students by identifying and eliminating systemic barriers, and better supporting students in exploring pathways to work, college, apprenticeship or university.</w:t>
      </w:r>
    </w:p>
    <w:p w:rsidR="00000000" w:rsidRDefault="004D022D">
      <w:pPr>
        <w:pStyle w:val="NormalWeb"/>
        <w:rPr>
          <w:rFonts w:hint="eastAsia"/>
        </w:rPr>
      </w:pPr>
      <w:r>
        <w:rPr>
          <w:rFonts w:hint="eastAsia"/>
        </w:rPr>
        <w:t>Mitzie Hunter, Minister of Education, was</w:t>
      </w:r>
      <w:r>
        <w:rPr>
          <w:rFonts w:hint="eastAsia"/>
        </w:rPr>
        <w:t xml:space="preserve"> in Mississauga today to release Ontario's</w:t>
      </w:r>
      <w:r>
        <w:rPr>
          <w:rFonts w:hint="eastAsia"/>
        </w:rPr>
        <w:t> </w:t>
      </w:r>
      <w:hyperlink r:id="rId7" w:history="1">
        <w:r>
          <w:rPr>
            <w:rStyle w:val="Hyperlink"/>
            <w:rFonts w:hint="eastAsia"/>
          </w:rPr>
          <w:t>Education Equity Action Plan</w:t>
        </w:r>
      </w:hyperlink>
      <w:r>
        <w:rPr>
          <w:rFonts w:hint="eastAsia"/>
        </w:rPr>
        <w:t xml:space="preserve">, a new three-year strategy to reduce systemic barriers and ensure that all students in Ontario can reach their full </w:t>
      </w:r>
      <w:r>
        <w:rPr>
          <w:rFonts w:hint="eastAsia"/>
        </w:rPr>
        <w:t>potential. The strategy includes:</w:t>
      </w:r>
    </w:p>
    <w:p w:rsidR="00000000" w:rsidRDefault="004D022D">
      <w:pPr>
        <w:numPr>
          <w:ilvl w:val="0"/>
          <w:numId w:val="1"/>
        </w:numPr>
        <w:spacing w:before="100" w:beforeAutospacing="1" w:after="100" w:afterAutospacing="1"/>
        <w:rPr>
          <w:rFonts w:eastAsia="Times New Roman" w:hint="eastAsia"/>
        </w:rPr>
      </w:pPr>
      <w:r>
        <w:rPr>
          <w:rFonts w:eastAsia="Times New Roman"/>
        </w:rPr>
        <w:t xml:space="preserve">Introducing a renewed approach to Grade 9 in which all students are better able to explore pathways to </w:t>
      </w:r>
      <w:bookmarkStart w:id="0" w:name="_GoBack"/>
      <w:bookmarkEnd w:id="0"/>
      <w:r>
        <w:rPr>
          <w:rFonts w:eastAsia="Times New Roman"/>
        </w:rPr>
        <w:t>work, college, apprenticeship, and university.</w:t>
      </w:r>
    </w:p>
    <w:p w:rsidR="00000000" w:rsidRDefault="004D022D">
      <w:pPr>
        <w:numPr>
          <w:ilvl w:val="0"/>
          <w:numId w:val="2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Identifying and addressing disparities in suspension, expulsion, and exc</w:t>
      </w:r>
      <w:r>
        <w:rPr>
          <w:rFonts w:eastAsia="Times New Roman"/>
        </w:rPr>
        <w:t>lusion rates amongst certain student populations.</w:t>
      </w:r>
    </w:p>
    <w:p w:rsidR="00000000" w:rsidRDefault="004D022D">
      <w:pPr>
        <w:numPr>
          <w:ilvl w:val="0"/>
          <w:numId w:val="3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Enhancing other school and classroom practices to ensure that they reflect and respond to student and staff diversity, including more culturally relevant teaching resources, curriculum, and assessment.</w:t>
      </w:r>
    </w:p>
    <w:p w:rsidR="00000000" w:rsidRDefault="004D022D">
      <w:pPr>
        <w:numPr>
          <w:ilvl w:val="0"/>
          <w:numId w:val="4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Enha</w:t>
      </w:r>
      <w:r>
        <w:rPr>
          <w:rFonts w:eastAsia="Times New Roman"/>
        </w:rPr>
        <w:t>ncing diversity in hiring and promotion, and tying accountability for equity to the performance appraisals of principals, vice-principals and directors, to ensure that the diversity of teachers, staff and school system leaders reflects the diversity of stu</w:t>
      </w:r>
      <w:r>
        <w:rPr>
          <w:rFonts w:eastAsia="Times New Roman"/>
        </w:rPr>
        <w:t>dents.</w:t>
      </w:r>
    </w:p>
    <w:p w:rsidR="00000000" w:rsidRDefault="004D022D">
      <w:pPr>
        <w:numPr>
          <w:ilvl w:val="0"/>
          <w:numId w:val="5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Collecting and analyzing demographic data to more precisely address the systemic barriers to student success through data-informed decision-making.</w:t>
      </w:r>
    </w:p>
    <w:p w:rsidR="00000000" w:rsidRDefault="004D022D">
      <w:pPr>
        <w:numPr>
          <w:ilvl w:val="0"/>
          <w:numId w:val="6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Applying an equity, inclusion and human rights perspective to internal organizational structures, policies, programs and practices.</w:t>
      </w:r>
    </w:p>
    <w:p w:rsidR="00000000" w:rsidRDefault="004D022D">
      <w:pPr>
        <w:pStyle w:val="NormalWeb"/>
      </w:pPr>
      <w:r>
        <w:rPr>
          <w:rFonts w:hint="eastAsia"/>
        </w:rPr>
        <w:t>The equity plan will address unintentional consequences of existing structures, policies, programs and practices that may di</w:t>
      </w:r>
      <w:r>
        <w:rPr>
          <w:rFonts w:hint="eastAsia"/>
        </w:rPr>
        <w:t>sadvantage certain student populations, including racialized students, students experiencing poverty, Indigenous students, newcomers to Canada, students who identify as LGBTQ and Two-Spirited, children and youth in care, religious minorities, French langua</w:t>
      </w:r>
      <w:r>
        <w:rPr>
          <w:rFonts w:hint="eastAsia"/>
        </w:rPr>
        <w:t>ge minorities, students with disabilities and students with special education needs.</w:t>
      </w:r>
    </w:p>
    <w:p w:rsidR="00000000" w:rsidRDefault="004D022D">
      <w:pPr>
        <w:pStyle w:val="NormalWeb"/>
        <w:rPr>
          <w:rFonts w:hint="eastAsia"/>
        </w:rPr>
      </w:pPr>
      <w:r>
        <w:rPr>
          <w:rFonts w:hint="eastAsia"/>
        </w:rPr>
        <w:lastRenderedPageBreak/>
        <w:t>Supporting equity for all students, educators and staff is part of our plan to create jobs, grow our economy and help people in their everyday lives.</w:t>
      </w:r>
    </w:p>
    <w:p w:rsidR="00000000" w:rsidRDefault="004D022D">
      <w:pPr>
        <w:rPr>
          <w:rFonts w:hint="eastAsia"/>
        </w:rPr>
      </w:pPr>
      <w:r>
        <w:t> </w:t>
      </w:r>
    </w:p>
    <w:p w:rsidR="00000000" w:rsidRDefault="004D022D">
      <w:pPr>
        <w:pStyle w:val="Heading3"/>
        <w:rPr>
          <w:rFonts w:eastAsia="Times New Roman" w:cs="Arial"/>
        </w:rPr>
      </w:pPr>
      <w:r>
        <w:rPr>
          <w:rFonts w:ascii="Arial" w:eastAsia="Times New Roman" w:hAnsi="Arial" w:cs="Arial"/>
          <w:lang w:val="en"/>
        </w:rPr>
        <w:t>QUOTES</w:t>
      </w:r>
    </w:p>
    <w:p w:rsidR="00000000" w:rsidRDefault="004D022D">
      <w:pPr>
        <w:pStyle w:val="NormalWeb"/>
      </w:pPr>
      <w:r>
        <w:rPr>
          <w:rFonts w:hint="eastAsia"/>
        </w:rPr>
        <w:t>" Ontario</w:t>
      </w:r>
      <w:r>
        <w:rPr>
          <w:rFonts w:hint="eastAsia"/>
        </w:rPr>
        <w:t>’</w:t>
      </w:r>
      <w:r>
        <w:rPr>
          <w:rFonts w:hint="eastAsia"/>
        </w:rPr>
        <w:t xml:space="preserve">s </w:t>
      </w:r>
      <w:r>
        <w:rPr>
          <w:rFonts w:hint="eastAsia"/>
        </w:rPr>
        <w:t>Education Equity Action Plan is a powerful blueprint that will strengthen our publicly funded education system by ensuring that all of Ontario</w:t>
      </w:r>
      <w:r>
        <w:rPr>
          <w:rFonts w:hint="eastAsia"/>
        </w:rPr>
        <w:t>’</w:t>
      </w:r>
      <w:r>
        <w:rPr>
          <w:rFonts w:hint="eastAsia"/>
        </w:rPr>
        <w:t>s students will have every opportunity to thrive and fulfill their potential, regardless of their personal circum</w:t>
      </w:r>
      <w:r>
        <w:rPr>
          <w:rFonts w:hint="eastAsia"/>
        </w:rPr>
        <w:t xml:space="preserve">stances. Together with our renewed focus on achievement and well-being, the school experience of Ontario students will be enhanced." </w:t>
      </w:r>
      <w:r>
        <w:rPr>
          <w:rFonts w:hint="eastAsia"/>
        </w:rPr>
        <w:br/>
        <w:t>- Mitzie Hunter</w:t>
      </w:r>
      <w:r>
        <w:rPr>
          <w:rFonts w:hint="eastAsia"/>
        </w:rPr>
        <w:br/>
        <w:t>Minister of Education</w:t>
      </w:r>
    </w:p>
    <w:p w:rsidR="00000000" w:rsidRDefault="004D022D">
      <w:pPr>
        <w:pStyle w:val="NormalWeb"/>
        <w:rPr>
          <w:rFonts w:hint="eastAsia"/>
        </w:rPr>
      </w:pPr>
      <w:r>
        <w:rPr>
          <w:rFonts w:hint="eastAsia"/>
        </w:rPr>
        <w:t xml:space="preserve">" We are already at work, with partners in education, on implementing parts of this </w:t>
      </w:r>
      <w:r>
        <w:rPr>
          <w:rFonts w:hint="eastAsia"/>
        </w:rPr>
        <w:t xml:space="preserve">Plan. I believe that the time is right and based on conversations I have had with community organizations, I can sense an excitement and a renewed vigour about tackling some persistently difficult issues in our publicly funded education system, together." </w:t>
      </w:r>
      <w:r>
        <w:rPr>
          <w:rFonts w:hint="eastAsia"/>
        </w:rPr>
        <w:br/>
        <w:t>- Patrick Case</w:t>
      </w:r>
      <w:r>
        <w:rPr>
          <w:rFonts w:hint="eastAsia"/>
        </w:rPr>
        <w:br/>
        <w:t>Assistant Deputy Minister, Education Equity Secretariat</w:t>
      </w:r>
    </w:p>
    <w:p w:rsidR="00000000" w:rsidRDefault="004D022D">
      <w:pPr>
        <w:pStyle w:val="NormalWeb"/>
        <w:rPr>
          <w:rFonts w:hint="eastAsia"/>
        </w:rPr>
      </w:pPr>
      <w:r>
        <w:rPr>
          <w:rFonts w:hint="eastAsia"/>
        </w:rPr>
        <w:t>" Our children and youth deserve a school system that listens to the voices of children, adapts to their needs, and mirrors what society can be. We are not there yet. We support the Eq</w:t>
      </w:r>
      <w:r>
        <w:rPr>
          <w:rFonts w:hint="eastAsia"/>
        </w:rPr>
        <w:t xml:space="preserve">uity Action Plan as it moves from good intention to the creation of a culture of respect and inclusion in our schools." </w:t>
      </w:r>
      <w:r>
        <w:rPr>
          <w:rFonts w:hint="eastAsia"/>
        </w:rPr>
        <w:br/>
        <w:t>- Irwin Elman</w:t>
      </w:r>
      <w:r>
        <w:rPr>
          <w:rFonts w:hint="eastAsia"/>
        </w:rPr>
        <w:br/>
        <w:t>Provincial Advocate for Children and Youth</w:t>
      </w:r>
    </w:p>
    <w:p w:rsidR="00000000" w:rsidRDefault="004D022D">
      <w:pPr>
        <w:rPr>
          <w:rFonts w:hint="eastAsia"/>
        </w:rPr>
      </w:pPr>
      <w:r>
        <w:t> </w:t>
      </w:r>
    </w:p>
    <w:p w:rsidR="00000000" w:rsidRDefault="004D022D">
      <w:pPr>
        <w:pStyle w:val="Heading3"/>
        <w:rPr>
          <w:rFonts w:eastAsia="Times New Roman" w:cs="Arial"/>
        </w:rPr>
      </w:pPr>
      <w:r>
        <w:rPr>
          <w:rFonts w:ascii="Arial" w:eastAsia="Times New Roman" w:hAnsi="Arial" w:cs="Arial"/>
          <w:lang w:val="en"/>
        </w:rPr>
        <w:t>QUICK FACTS</w:t>
      </w:r>
    </w:p>
    <w:p w:rsidR="00000000" w:rsidRDefault="004D022D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Ensuring equity is one of the four goals for Ontario’s early yea</w:t>
      </w:r>
      <w:r>
        <w:rPr>
          <w:rFonts w:eastAsia="Times New Roman"/>
        </w:rPr>
        <w:t xml:space="preserve">rs and education system, along with achieving excellence, promoting well-being, and enhancing public confidence. </w:t>
      </w:r>
    </w:p>
    <w:p w:rsidR="00000000" w:rsidRDefault="004D022D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In the 2017 Budget, $49 million over the next three years was identified to develop and strengthen programs that support and promote student w</w:t>
      </w:r>
      <w:r>
        <w:rPr>
          <w:rFonts w:eastAsia="Times New Roman"/>
        </w:rPr>
        <w:t>ell-being.</w:t>
      </w:r>
    </w:p>
    <w:p w:rsidR="00000000" w:rsidRDefault="004D022D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Ontario committed over $7 million in 2017-18 to support the implementation of the Equity Action Plan.</w:t>
      </w:r>
    </w:p>
    <w:p w:rsidR="00000000" w:rsidRDefault="004D022D">
      <w:pPr>
        <w:numPr>
          <w:ilvl w:val="0"/>
          <w:numId w:val="7"/>
        </w:numPr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The plan builds on the work the ministry and education partners have done since the introduction of the Equity and Inclusive Education Strategy</w:t>
      </w:r>
      <w:r>
        <w:rPr>
          <w:rFonts w:eastAsia="Times New Roman"/>
        </w:rPr>
        <w:t xml:space="preserve"> in 2009.</w:t>
      </w:r>
    </w:p>
    <w:p w:rsidR="00000000" w:rsidRDefault="004D022D">
      <w:r>
        <w:t> </w:t>
      </w:r>
    </w:p>
    <w:p w:rsidR="00000000" w:rsidRDefault="004D022D">
      <w:pPr>
        <w:pStyle w:val="Heading3"/>
        <w:rPr>
          <w:rFonts w:eastAsia="Times New Roman" w:cs="Arial"/>
        </w:rPr>
      </w:pPr>
      <w:r>
        <w:rPr>
          <w:rFonts w:ascii="Arial" w:eastAsia="Times New Roman" w:hAnsi="Arial" w:cs="Arial"/>
          <w:lang w:val="en"/>
        </w:rPr>
        <w:t>LEARN MORE</w:t>
      </w:r>
    </w:p>
    <w:p w:rsidR="00000000" w:rsidRDefault="004D022D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hyperlink r:id="rId8" w:tooltip="Learn More" w:history="1">
        <w:r>
          <w:rPr>
            <w:rStyle w:val="Hyperlink"/>
            <w:rFonts w:eastAsia="Times New Roman"/>
          </w:rPr>
          <w:t xml:space="preserve">Ontario’s Education Equity Action Plan </w:t>
        </w:r>
      </w:hyperlink>
    </w:p>
    <w:p w:rsidR="00000000" w:rsidRDefault="004D022D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hyperlink r:id="rId9" w:tooltip="Learn More" w:history="1">
        <w:r>
          <w:rPr>
            <w:rStyle w:val="Hyperlink"/>
            <w:rFonts w:eastAsia="Times New Roman"/>
          </w:rPr>
          <w:t>Understanding Ontario’s Education Equity Action Plan: Parent Fact Sheet</w:t>
        </w:r>
      </w:hyperlink>
      <w:r>
        <w:rPr>
          <w:rFonts w:eastAsia="Times New Roman"/>
        </w:rPr>
        <w:t xml:space="preserve"> </w:t>
      </w:r>
    </w:p>
    <w:p w:rsidR="00000000" w:rsidRDefault="004D022D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hyperlink r:id="rId10" w:tooltip="Learn More" w:history="1">
        <w:r>
          <w:rPr>
            <w:rStyle w:val="Hyperlink"/>
            <w:rFonts w:eastAsia="Times New Roman"/>
          </w:rPr>
          <w:t>Promoting Well-Being in Ontario’s Education System</w:t>
        </w:r>
      </w:hyperlink>
      <w:r>
        <w:rPr>
          <w:rFonts w:eastAsia="Times New Roman"/>
        </w:rPr>
        <w:t xml:space="preserve"> </w:t>
      </w:r>
    </w:p>
    <w:p w:rsidR="00000000" w:rsidRDefault="004D022D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hyperlink r:id="rId11" w:tooltip="Learn More" w:history="1">
        <w:r>
          <w:rPr>
            <w:rStyle w:val="Hyperlink"/>
            <w:rFonts w:eastAsia="Times New Roman"/>
          </w:rPr>
          <w:t>Well-Being in Our Schools, Strength in Our Society: What We Heard</w:t>
        </w:r>
      </w:hyperlink>
      <w:r>
        <w:rPr>
          <w:rFonts w:eastAsia="Times New Roman"/>
        </w:rPr>
        <w:t xml:space="preserve"> </w:t>
      </w:r>
    </w:p>
    <w:p w:rsidR="00000000" w:rsidRDefault="004D022D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hyperlink r:id="rId12" w:tooltip="Learn More" w:history="1">
        <w:r>
          <w:rPr>
            <w:rStyle w:val="Hyperlink"/>
            <w:rFonts w:eastAsia="Times New Roman"/>
          </w:rPr>
          <w:t>Ontario’s renewed vision for education</w:t>
        </w:r>
      </w:hyperlink>
      <w:r>
        <w:rPr>
          <w:rFonts w:eastAsia="Times New Roman"/>
        </w:rPr>
        <w:t xml:space="preserve"> </w:t>
      </w:r>
    </w:p>
    <w:p w:rsidR="00000000" w:rsidRDefault="004D022D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hyperlink r:id="rId13" w:tooltip="Learn More" w:history="1">
        <w:r>
          <w:rPr>
            <w:rStyle w:val="Hyperlink"/>
            <w:rFonts w:eastAsia="Times New Roman"/>
          </w:rPr>
          <w:t>Equity and Inclusive Education</w:t>
        </w:r>
      </w:hyperlink>
      <w:r>
        <w:rPr>
          <w:rFonts w:eastAsia="Times New Roman"/>
        </w:rPr>
        <w:t xml:space="preserve"> </w:t>
      </w:r>
    </w:p>
    <w:p w:rsidR="00000000" w:rsidRDefault="004D022D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hyperlink r:id="rId14" w:tooltip="Learn More" w:history="1">
        <w:r>
          <w:rPr>
            <w:rStyle w:val="Hyperlink"/>
            <w:rFonts w:eastAsia="Times New Roman"/>
          </w:rPr>
          <w:t xml:space="preserve">Ontario Curriculum (K to 12) </w:t>
        </w:r>
      </w:hyperlink>
    </w:p>
    <w:p w:rsidR="00000000" w:rsidRDefault="004D022D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hyperlink r:id="rId15" w:tooltip="Learn More" w:history="1">
        <w:r>
          <w:rPr>
            <w:rStyle w:val="Hyperlink"/>
            <w:rFonts w:eastAsia="Times New Roman"/>
          </w:rPr>
          <w:t xml:space="preserve">Unlocking Student Potential Through Data - York University </w:t>
        </w:r>
      </w:hyperlink>
    </w:p>
    <w:p w:rsidR="00000000" w:rsidRDefault="004D022D">
      <w:pPr>
        <w:numPr>
          <w:ilvl w:val="0"/>
          <w:numId w:val="8"/>
        </w:numPr>
        <w:spacing w:before="100" w:beforeAutospacing="1" w:after="100" w:afterAutospacing="1"/>
        <w:rPr>
          <w:rFonts w:eastAsia="Times New Roman"/>
        </w:rPr>
      </w:pPr>
      <w:hyperlink r:id="rId16" w:tooltip="Learn More" w:history="1">
        <w:r>
          <w:rPr>
            <w:rStyle w:val="Hyperlink"/>
            <w:rFonts w:eastAsia="Times New Roman"/>
          </w:rPr>
          <w:t>A Better Way Forward: Ontario’s 3-Year Anti-Racism Strategic Plan</w:t>
        </w:r>
      </w:hyperlink>
      <w:r>
        <w:rPr>
          <w:rFonts w:eastAsia="Times New Roman"/>
        </w:rPr>
        <w:t xml:space="preserve"> </w:t>
      </w:r>
    </w:p>
    <w:p w:rsidR="00000000" w:rsidRDefault="004D022D">
      <w:r>
        <w:rPr>
          <w:lang w:val="en"/>
        </w:rPr>
        <w:t> 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3790"/>
      </w:tblGrid>
      <w:tr w:rsidR="00000000">
        <w:trPr>
          <w:trHeight w:val="340"/>
          <w:jc w:val="center"/>
        </w:trPr>
        <w:tc>
          <w:tcPr>
            <w:tcW w:w="3000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115" w:type="dxa"/>
              <w:left w:w="0" w:type="dxa"/>
              <w:bottom w:w="0" w:type="dxa"/>
              <w:right w:w="0" w:type="dxa"/>
            </w:tcMar>
            <w:hideMark/>
          </w:tcPr>
          <w:p w:rsidR="00000000" w:rsidRDefault="004D022D">
            <w:r>
              <w:rPr>
                <w:b/>
                <w:bCs/>
                <w:sz w:val="18"/>
                <w:szCs w:val="18"/>
                <w:lang w:val="en"/>
              </w:rPr>
              <w:t>Richard Francella</w:t>
            </w:r>
            <w:r>
              <w:rPr>
                <w:sz w:val="18"/>
                <w:szCs w:val="18"/>
                <w:lang w:val="en"/>
              </w:rPr>
              <w:t xml:space="preserve"> Minister's Office</w:t>
            </w:r>
            <w:r>
              <w:rPr>
                <w:sz w:val="18"/>
                <w:szCs w:val="18"/>
                <w:lang w:val="en"/>
              </w:rPr>
              <w:br/>
              <w:t>Richard.Francella@ontario.ca</w:t>
            </w:r>
          </w:p>
          <w:p w:rsidR="00000000" w:rsidRDefault="004D022D">
            <w:r>
              <w:rPr>
                <w:b/>
                <w:bCs/>
                <w:sz w:val="18"/>
                <w:szCs w:val="18"/>
                <w:lang w:val="en"/>
              </w:rPr>
              <w:t>Heather Irwin</w:t>
            </w:r>
            <w:r>
              <w:rPr>
                <w:sz w:val="18"/>
                <w:szCs w:val="18"/>
                <w:lang w:val="en"/>
              </w:rPr>
              <w:t xml:space="preserve"> Communications Branch</w:t>
            </w:r>
            <w:r>
              <w:rPr>
                <w:sz w:val="18"/>
                <w:szCs w:val="18"/>
                <w:lang w:val="en"/>
              </w:rPr>
              <w:br/>
              <w:t>Heather.Irwin@ontario</w:t>
            </w:r>
            <w:r>
              <w:rPr>
                <w:sz w:val="18"/>
                <w:szCs w:val="18"/>
                <w:lang w:val="en"/>
              </w:rPr>
              <w:t>.ca</w:t>
            </w:r>
            <w:r>
              <w:rPr>
                <w:sz w:val="18"/>
                <w:szCs w:val="18"/>
                <w:lang w:val="en"/>
              </w:rPr>
              <w:br/>
              <w:t xml:space="preserve">416-325-2454 </w:t>
            </w:r>
          </w:p>
          <w:p w:rsidR="00000000" w:rsidRDefault="004D022D">
            <w:pPr>
              <w:ind w:right="20"/>
            </w:pPr>
            <w:r>
              <w:rPr>
                <w:sz w:val="18"/>
                <w:szCs w:val="18"/>
                <w:lang w:val="en"/>
              </w:rPr>
              <w:t> </w:t>
            </w:r>
          </w:p>
        </w:tc>
        <w:tc>
          <w:tcPr>
            <w:tcW w:w="2000" w:type="pct"/>
            <w:tcBorders>
              <w:top w:val="single" w:sz="8" w:space="0" w:color="auto"/>
              <w:left w:val="nil"/>
              <w:bottom w:val="nil"/>
              <w:right w:val="nil"/>
            </w:tcBorders>
            <w:tcMar>
              <w:top w:w="58" w:type="dxa"/>
              <w:left w:w="115" w:type="dxa"/>
              <w:bottom w:w="0" w:type="dxa"/>
              <w:right w:w="115" w:type="dxa"/>
            </w:tcMar>
            <w:hideMark/>
          </w:tcPr>
          <w:p w:rsidR="00000000" w:rsidRDefault="004D022D">
            <w:pPr>
              <w:jc w:val="right"/>
            </w:pPr>
            <w:hyperlink r:id="rId17" w:history="1">
              <w:r>
                <w:rPr>
                  <w:rStyle w:val="Hyperlink"/>
                  <w:b/>
                  <w:bCs/>
                  <w:lang w:val="en"/>
                </w:rPr>
                <w:t>Available Online</w:t>
              </w:r>
            </w:hyperlink>
          </w:p>
          <w:p w:rsidR="00000000" w:rsidRDefault="004D022D">
            <w:pPr>
              <w:jc w:val="right"/>
            </w:pPr>
            <w:hyperlink r:id="rId18" w:history="1">
              <w:r>
                <w:rPr>
                  <w:rStyle w:val="Hyperlink"/>
                  <w:b/>
                  <w:bCs/>
                  <w:sz w:val="18"/>
                  <w:szCs w:val="18"/>
                  <w:lang w:val="en"/>
                </w:rPr>
                <w:t>Disponible en Français</w:t>
              </w:r>
            </w:hyperlink>
          </w:p>
        </w:tc>
      </w:tr>
    </w:tbl>
    <w:p w:rsidR="004D022D" w:rsidRDefault="004D022D">
      <w:r>
        <w:t> </w:t>
      </w:r>
    </w:p>
    <w:sectPr w:rsidR="004D022D">
      <w:pgSz w:w="12240" w:h="15840"/>
      <w:pgMar w:top="72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20B0704020202020204"/>
    <w:charset w:val="00"/>
    <w:family w:val="auto"/>
    <w:pitch w:val="default"/>
  </w:font>
  <w:font w:name="Arial Italic">
    <w:panose1 w:val="020B0604020202090204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19704C"/>
    <w:multiLevelType w:val="multilevel"/>
    <w:tmpl w:val="A4ACE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E0641"/>
    <w:multiLevelType w:val="multilevel"/>
    <w:tmpl w:val="4908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6427A6"/>
    <w:multiLevelType w:val="multilevel"/>
    <w:tmpl w:val="9EBCF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6687B16"/>
    <w:multiLevelType w:val="multilevel"/>
    <w:tmpl w:val="BD7E2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0D62AD"/>
    <w:multiLevelType w:val="multilevel"/>
    <w:tmpl w:val="9162E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66122"/>
    <w:multiLevelType w:val="multilevel"/>
    <w:tmpl w:val="3EC0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D3850E1"/>
    <w:multiLevelType w:val="multilevel"/>
    <w:tmpl w:val="19486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BA1C7C"/>
    <w:multiLevelType w:val="multilevel"/>
    <w:tmpl w:val="F5D6B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9D14CD"/>
    <w:rsid w:val="004D022D"/>
    <w:rsid w:val="009D1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Theme="minorEastAsia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pPr>
      <w:keepNext/>
      <w:snapToGrid w:val="0"/>
      <w:jc w:val="center"/>
      <w:outlineLvl w:val="0"/>
    </w:pPr>
    <w:rPr>
      <w:rFonts w:ascii="Arial Bold" w:hAnsi="Arial Bold" w:cs="Times New Roman"/>
      <w:b/>
      <w:bCs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pPr>
      <w:keepNext/>
      <w:jc w:val="center"/>
      <w:outlineLvl w:val="1"/>
    </w:pPr>
    <w:rPr>
      <w:rFonts w:ascii="Arial Italic" w:hAnsi="Arial Italic" w:cs="Times New Roman"/>
      <w:i/>
      <w:i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keepNext/>
      <w:outlineLvl w:val="2"/>
    </w:pPr>
    <w:rPr>
      <w:rFonts w:ascii="Arial Bold" w:hAnsi="Arial Bold" w:cs="Times New Roman"/>
      <w:b/>
      <w:bCs/>
    </w:rPr>
  </w:style>
  <w:style w:type="paragraph" w:styleId="Heading4">
    <w:name w:val="heading 4"/>
    <w:basedOn w:val="Normal"/>
    <w:link w:val="Heading4Char"/>
    <w:uiPriority w:val="9"/>
    <w:qFormat/>
    <w:pPr>
      <w:keepNext/>
      <w:snapToGrid w:val="0"/>
      <w:jc w:val="righ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pPr>
      <w:keepNext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pPr>
      <w:keepNext/>
      <w:jc w:val="right"/>
      <w:outlineLvl w:val="5"/>
    </w:pPr>
    <w:rPr>
      <w:b/>
      <w:bCs/>
    </w:rPr>
  </w:style>
  <w:style w:type="paragraph" w:styleId="Heading7">
    <w:name w:val="heading 7"/>
    <w:basedOn w:val="Normal"/>
    <w:link w:val="Heading7Char"/>
    <w:uiPriority w:val="9"/>
    <w:qFormat/>
    <w:pPr>
      <w:keepNext/>
      <w:jc w:val="center"/>
      <w:outlineLvl w:val="6"/>
    </w:pPr>
    <w:rPr>
      <w:rFonts w:eastAsia="Arial Unicode MS"/>
      <w:i/>
      <w:iCs/>
    </w:rPr>
  </w:style>
  <w:style w:type="paragraph" w:styleId="Heading8">
    <w:name w:val="heading 8"/>
    <w:basedOn w:val="Normal"/>
    <w:link w:val="Heading8Char"/>
    <w:uiPriority w:val="9"/>
    <w:qFormat/>
    <w:pPr>
      <w:keepNext/>
      <w:jc w:val="right"/>
      <w:outlineLvl w:val="7"/>
    </w:pPr>
    <w:rPr>
      <w:rFonts w:eastAsia="Arial Unicode MS"/>
      <w:i/>
      <w:iCs/>
    </w:rPr>
  </w:style>
  <w:style w:type="paragraph" w:styleId="Heading9">
    <w:name w:val="heading 9"/>
    <w:basedOn w:val="Normal"/>
    <w:link w:val="Heading9Char"/>
    <w:uiPriority w:val="9"/>
    <w:qFormat/>
    <w:pPr>
      <w:spacing w:before="240" w:after="60"/>
      <w:outlineLvl w:val="8"/>
    </w:pPr>
    <w:rPr>
      <w:rFonts w:eastAsia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 w:cs="Arial"/>
    </w:rPr>
  </w:style>
  <w:style w:type="paragraph" w:styleId="NormalWeb">
    <w:name w:val="Normal (Web)"/>
    <w:basedOn w:val="Normal"/>
    <w:uiPriority w:val="99"/>
    <w:semiHidden/>
    <w:unhideWhenUsed/>
    <w:pPr>
      <w:spacing w:before="120" w:after="240" w:line="360" w:lineRule="atLeast"/>
    </w:pPr>
    <w:rPr>
      <w:rFonts w:ascii="Arial Unicode MS" w:eastAsia="Arial Unicode MS" w:hAnsi="Arial Unicode MS" w:cs="Arial Unicode M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eastAsia="Arial Unicode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Theme="minorEastAsia" w:hAnsi="Arial" w:cs="Arial"/>
    </w:rPr>
  </w:style>
  <w:style w:type="paragraph" w:styleId="Header">
    <w:name w:val="header"/>
    <w:basedOn w:val="Normal"/>
    <w:link w:val="HeaderChar"/>
    <w:uiPriority w:val="99"/>
    <w:unhideWhenUsed/>
    <w:rPr>
      <w:rFonts w:eastAsia="Arial Unicode MS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Theme="minorEastAsia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Pr>
      <w:rFonts w:eastAsia="Arial Unicode M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Theme="minorEastAsia" w:hAnsi="Arial" w:cs="Arial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pPr>
      <w:jc w:val="center"/>
    </w:pPr>
    <w:rPr>
      <w:rFonts w:eastAsia="Arial Unicode MS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eastAsiaTheme="minorEastAsia" w:hAnsi="Arial" w:cs="Arial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ind w:left="720" w:hanging="720"/>
    </w:pPr>
    <w:rPr>
      <w:rFonts w:eastAsia="Arial Unicode MS"/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Arial" w:eastAsiaTheme="minorEastAsia" w:hAnsi="Arial" w:cs="Arial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Pr>
      <w:rFonts w:eastAsia="Arial Unicode MS"/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eastAsiaTheme="minorEastAsia" w:hAnsi="Arial" w:cs="Arial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Pr>
      <w:rFonts w:eastAsia="Arial Unicode M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Arial" w:eastAsiaTheme="minorEastAsia" w:hAnsi="Arial" w:cs="Arial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hd w:val="clear" w:color="auto" w:fill="000080"/>
    </w:pPr>
    <w:rPr>
      <w:rFonts w:ascii="Tahoma" w:eastAsia="Arial Unicode MS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eastAsiaTheme="minorEastAsia" w:hAnsi="Tahoma" w:cs="Tahoma"/>
      <w:sz w:val="16"/>
      <w:szCs w:val="16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Pr>
      <w:rFonts w:eastAsia="Arial Unicode MS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Theme="minorEastAsia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eastAsia="Arial Unicode MS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sz w:val="16"/>
      <w:szCs w:val="16"/>
    </w:rPr>
  </w:style>
  <w:style w:type="paragraph" w:styleId="Revision">
    <w:name w:val="Revision"/>
    <w:basedOn w:val="Normal"/>
    <w:uiPriority w:val="99"/>
    <w:semiHidden/>
    <w:rPr>
      <w:rFonts w:eastAsia="Arial Unicode M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eastAsia="Arial Unicode MS" w:hAnsi="Calibri" w:cs="Calibri"/>
    </w:rPr>
  </w:style>
  <w:style w:type="paragraph" w:customStyle="1" w:styleId="msolistparagraphcxspfirst">
    <w:name w:val="msolistparagraphcxspfirst"/>
    <w:basedOn w:val="Normal"/>
    <w:pPr>
      <w:spacing w:line="276" w:lineRule="auto"/>
      <w:ind w:left="720"/>
    </w:pPr>
    <w:rPr>
      <w:rFonts w:ascii="Calibri" w:eastAsia="Arial Unicode MS" w:hAnsi="Calibri" w:cs="Calibri"/>
    </w:rPr>
  </w:style>
  <w:style w:type="paragraph" w:customStyle="1" w:styleId="msolistparagraphcxspmiddle">
    <w:name w:val="msolistparagraphcxspmiddle"/>
    <w:basedOn w:val="Normal"/>
    <w:pPr>
      <w:spacing w:line="276" w:lineRule="auto"/>
      <w:ind w:left="720"/>
    </w:pPr>
    <w:rPr>
      <w:rFonts w:ascii="Calibri" w:eastAsia="Arial Unicode MS" w:hAnsi="Calibri" w:cs="Calibri"/>
    </w:rPr>
  </w:style>
  <w:style w:type="paragraph" w:customStyle="1" w:styleId="msolistparagraphcxsplast">
    <w:name w:val="msolistparagraphcxsplast"/>
    <w:basedOn w:val="Normal"/>
    <w:pPr>
      <w:spacing w:after="200" w:line="276" w:lineRule="auto"/>
      <w:ind w:left="720"/>
    </w:pPr>
    <w:rPr>
      <w:rFonts w:ascii="Calibri" w:eastAsia="Arial Unicode MS" w:hAnsi="Calibri" w:cs="Calibri"/>
    </w:rPr>
  </w:style>
  <w:style w:type="paragraph" w:customStyle="1" w:styleId="Default">
    <w:name w:val="Default"/>
    <w:basedOn w:val="Normal"/>
    <w:pPr>
      <w:autoSpaceDE w:val="0"/>
      <w:autoSpaceDN w:val="0"/>
    </w:pPr>
    <w:rPr>
      <w:rFonts w:eastAsia="Arial Unicode MS"/>
      <w:color w:val="000000"/>
      <w:sz w:val="24"/>
      <w:szCs w:val="24"/>
    </w:rPr>
  </w:style>
  <w:style w:type="paragraph" w:customStyle="1" w:styleId="releasedate">
    <w:name w:val="releasedate"/>
    <w:basedOn w:val="Normal"/>
    <w:pPr>
      <w:spacing w:before="120" w:after="240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content1">
    <w:name w:val="content1"/>
    <w:basedOn w:val="DefaultParagraphFont"/>
    <w:rPr>
      <w:rFonts w:ascii="Arial" w:hAnsi="Arial" w:cs="Arial" w:hint="default"/>
      <w:color w:val="333333"/>
    </w:rPr>
  </w:style>
  <w:style w:type="character" w:customStyle="1" w:styleId="ecxa1">
    <w:name w:val="ecxa1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featuretext">
    <w:name w:val="featuretext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eastAsiaTheme="minorEastAsia" w:hAnsi="Arial" w:cs="Arial"/>
      <w:sz w:val="22"/>
      <w:szCs w:val="22"/>
    </w:rPr>
  </w:style>
  <w:style w:type="paragraph" w:styleId="Heading1">
    <w:name w:val="heading 1"/>
    <w:basedOn w:val="Normal"/>
    <w:link w:val="Heading1Char"/>
    <w:uiPriority w:val="9"/>
    <w:qFormat/>
    <w:pPr>
      <w:keepNext/>
      <w:snapToGrid w:val="0"/>
      <w:jc w:val="center"/>
      <w:outlineLvl w:val="0"/>
    </w:pPr>
    <w:rPr>
      <w:rFonts w:ascii="Arial Bold" w:hAnsi="Arial Bold" w:cs="Times New Roman"/>
      <w:b/>
      <w:bCs/>
      <w:kern w:val="36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pPr>
      <w:keepNext/>
      <w:jc w:val="center"/>
      <w:outlineLvl w:val="1"/>
    </w:pPr>
    <w:rPr>
      <w:rFonts w:ascii="Arial Italic" w:hAnsi="Arial Italic" w:cs="Times New Roman"/>
      <w:i/>
      <w:iCs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pPr>
      <w:keepNext/>
      <w:outlineLvl w:val="2"/>
    </w:pPr>
    <w:rPr>
      <w:rFonts w:ascii="Arial Bold" w:hAnsi="Arial Bold" w:cs="Times New Roman"/>
      <w:b/>
      <w:bCs/>
    </w:rPr>
  </w:style>
  <w:style w:type="paragraph" w:styleId="Heading4">
    <w:name w:val="heading 4"/>
    <w:basedOn w:val="Normal"/>
    <w:link w:val="Heading4Char"/>
    <w:uiPriority w:val="9"/>
    <w:qFormat/>
    <w:pPr>
      <w:keepNext/>
      <w:snapToGrid w:val="0"/>
      <w:jc w:val="right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link w:val="Heading5Char"/>
    <w:uiPriority w:val="9"/>
    <w:qFormat/>
    <w:pPr>
      <w:keepNext/>
      <w:outlineLvl w:val="4"/>
    </w:pPr>
    <w:rPr>
      <w:b/>
      <w:bCs/>
      <w:sz w:val="28"/>
      <w:szCs w:val="28"/>
    </w:rPr>
  </w:style>
  <w:style w:type="paragraph" w:styleId="Heading6">
    <w:name w:val="heading 6"/>
    <w:basedOn w:val="Normal"/>
    <w:link w:val="Heading6Char"/>
    <w:uiPriority w:val="9"/>
    <w:qFormat/>
    <w:pPr>
      <w:keepNext/>
      <w:jc w:val="right"/>
      <w:outlineLvl w:val="5"/>
    </w:pPr>
    <w:rPr>
      <w:b/>
      <w:bCs/>
    </w:rPr>
  </w:style>
  <w:style w:type="paragraph" w:styleId="Heading7">
    <w:name w:val="heading 7"/>
    <w:basedOn w:val="Normal"/>
    <w:link w:val="Heading7Char"/>
    <w:uiPriority w:val="9"/>
    <w:qFormat/>
    <w:pPr>
      <w:keepNext/>
      <w:jc w:val="center"/>
      <w:outlineLvl w:val="6"/>
    </w:pPr>
    <w:rPr>
      <w:rFonts w:eastAsia="Arial Unicode MS"/>
      <w:i/>
      <w:iCs/>
    </w:rPr>
  </w:style>
  <w:style w:type="paragraph" w:styleId="Heading8">
    <w:name w:val="heading 8"/>
    <w:basedOn w:val="Normal"/>
    <w:link w:val="Heading8Char"/>
    <w:uiPriority w:val="9"/>
    <w:qFormat/>
    <w:pPr>
      <w:keepNext/>
      <w:jc w:val="right"/>
      <w:outlineLvl w:val="7"/>
    </w:pPr>
    <w:rPr>
      <w:rFonts w:eastAsia="Arial Unicode MS"/>
      <w:i/>
      <w:iCs/>
    </w:rPr>
  </w:style>
  <w:style w:type="paragraph" w:styleId="Heading9">
    <w:name w:val="heading 9"/>
    <w:basedOn w:val="Normal"/>
    <w:link w:val="Heading9Char"/>
    <w:uiPriority w:val="9"/>
    <w:qFormat/>
    <w:pPr>
      <w:spacing w:before="240" w:after="60"/>
      <w:outlineLvl w:val="8"/>
    </w:pPr>
    <w:rPr>
      <w:rFonts w:eastAsia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Pr>
      <w:rFonts w:ascii="Consolas" w:eastAsiaTheme="minorEastAsia" w:hAnsi="Consolas" w:cs="Arial"/>
    </w:rPr>
  </w:style>
  <w:style w:type="paragraph" w:styleId="NormalWeb">
    <w:name w:val="Normal (Web)"/>
    <w:basedOn w:val="Normal"/>
    <w:uiPriority w:val="99"/>
    <w:semiHidden/>
    <w:unhideWhenUsed/>
    <w:pPr>
      <w:spacing w:before="120" w:after="240" w:line="360" w:lineRule="atLeast"/>
    </w:pPr>
    <w:rPr>
      <w:rFonts w:ascii="Arial Unicode MS" w:eastAsia="Arial Unicode MS" w:hAnsi="Arial Unicode MS" w:cs="Arial Unicode MS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rFonts w:eastAsia="Arial Unicode M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ascii="Arial" w:eastAsiaTheme="minorEastAsia" w:hAnsi="Arial" w:cs="Arial"/>
    </w:rPr>
  </w:style>
  <w:style w:type="paragraph" w:styleId="Header">
    <w:name w:val="header"/>
    <w:basedOn w:val="Normal"/>
    <w:link w:val="HeaderChar"/>
    <w:uiPriority w:val="99"/>
    <w:unhideWhenUsed/>
    <w:rPr>
      <w:rFonts w:eastAsia="Arial Unicode MS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Arial" w:eastAsiaTheme="minorEastAsia" w:hAnsi="Arial" w:cs="Arial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Pr>
      <w:rFonts w:eastAsia="Arial Unicode MS"/>
    </w:rPr>
  </w:style>
  <w:style w:type="character" w:customStyle="1" w:styleId="FooterChar">
    <w:name w:val="Footer Char"/>
    <w:basedOn w:val="DefaultParagraphFont"/>
    <w:link w:val="Footer"/>
    <w:uiPriority w:val="99"/>
    <w:rPr>
      <w:rFonts w:ascii="Arial" w:eastAsiaTheme="minorEastAsia" w:hAnsi="Arial" w:cs="Arial"/>
      <w:sz w:val="22"/>
      <w:szCs w:val="22"/>
    </w:rPr>
  </w:style>
  <w:style w:type="paragraph" w:styleId="BodyText">
    <w:name w:val="Body Text"/>
    <w:basedOn w:val="Normal"/>
    <w:link w:val="BodyTextChar"/>
    <w:uiPriority w:val="99"/>
    <w:semiHidden/>
    <w:unhideWhenUsed/>
    <w:pPr>
      <w:jc w:val="center"/>
    </w:pPr>
    <w:rPr>
      <w:rFonts w:eastAsia="Arial Unicode MS"/>
      <w:b/>
      <w:bCs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Arial" w:eastAsiaTheme="minorEastAsia" w:hAnsi="Arial" w:cs="Arial"/>
      <w:sz w:val="22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ind w:left="720" w:hanging="720"/>
    </w:pPr>
    <w:rPr>
      <w:rFonts w:eastAsia="Arial Unicode MS"/>
      <w:b/>
      <w:bCs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rFonts w:ascii="Arial" w:eastAsiaTheme="minorEastAsia" w:hAnsi="Arial" w:cs="Arial"/>
      <w:sz w:val="22"/>
      <w:szCs w:val="22"/>
    </w:rPr>
  </w:style>
  <w:style w:type="paragraph" w:styleId="BodyText2">
    <w:name w:val="Body Text 2"/>
    <w:basedOn w:val="Normal"/>
    <w:link w:val="BodyText2Char"/>
    <w:uiPriority w:val="99"/>
    <w:semiHidden/>
    <w:unhideWhenUsed/>
    <w:rPr>
      <w:rFonts w:eastAsia="Arial Unicode MS"/>
      <w:b/>
      <w:bCs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rFonts w:ascii="Arial" w:eastAsiaTheme="minorEastAsia" w:hAnsi="Arial" w:cs="Arial"/>
      <w:sz w:val="22"/>
      <w:szCs w:val="22"/>
    </w:rPr>
  </w:style>
  <w:style w:type="paragraph" w:styleId="BodyText3">
    <w:name w:val="Body Text 3"/>
    <w:basedOn w:val="Normal"/>
    <w:link w:val="BodyText3Char"/>
    <w:uiPriority w:val="99"/>
    <w:semiHidden/>
    <w:unhideWhenUsed/>
    <w:rPr>
      <w:rFonts w:eastAsia="Arial Unicode M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rFonts w:ascii="Arial" w:eastAsiaTheme="minorEastAsia" w:hAnsi="Arial" w:cs="Arial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pPr>
      <w:shd w:val="clear" w:color="auto" w:fill="000080"/>
    </w:pPr>
    <w:rPr>
      <w:rFonts w:ascii="Tahoma" w:eastAsia="Arial Unicode MS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Pr>
      <w:rFonts w:ascii="Tahoma" w:eastAsiaTheme="minorEastAsia" w:hAnsi="Tahoma" w:cs="Tahoma"/>
      <w:sz w:val="16"/>
      <w:szCs w:val="16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Pr>
      <w:rFonts w:eastAsia="Arial Unicode MS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rFonts w:ascii="Arial" w:eastAsiaTheme="minorEastAsia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eastAsia="Arial Unicode MS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Theme="minorEastAsia" w:hAnsi="Tahoma" w:cs="Tahoma"/>
      <w:sz w:val="16"/>
      <w:szCs w:val="16"/>
    </w:rPr>
  </w:style>
  <w:style w:type="paragraph" w:styleId="Revision">
    <w:name w:val="Revision"/>
    <w:basedOn w:val="Normal"/>
    <w:uiPriority w:val="99"/>
    <w:semiHidden/>
    <w:rPr>
      <w:rFonts w:eastAsia="Arial Unicode MS"/>
    </w:rPr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</w:pPr>
    <w:rPr>
      <w:rFonts w:ascii="Calibri" w:eastAsia="Arial Unicode MS" w:hAnsi="Calibri" w:cs="Calibri"/>
    </w:rPr>
  </w:style>
  <w:style w:type="paragraph" w:customStyle="1" w:styleId="msolistparagraphcxspfirst">
    <w:name w:val="msolistparagraphcxspfirst"/>
    <w:basedOn w:val="Normal"/>
    <w:pPr>
      <w:spacing w:line="276" w:lineRule="auto"/>
      <w:ind w:left="720"/>
    </w:pPr>
    <w:rPr>
      <w:rFonts w:ascii="Calibri" w:eastAsia="Arial Unicode MS" w:hAnsi="Calibri" w:cs="Calibri"/>
    </w:rPr>
  </w:style>
  <w:style w:type="paragraph" w:customStyle="1" w:styleId="msolistparagraphcxspmiddle">
    <w:name w:val="msolistparagraphcxspmiddle"/>
    <w:basedOn w:val="Normal"/>
    <w:pPr>
      <w:spacing w:line="276" w:lineRule="auto"/>
      <w:ind w:left="720"/>
    </w:pPr>
    <w:rPr>
      <w:rFonts w:ascii="Calibri" w:eastAsia="Arial Unicode MS" w:hAnsi="Calibri" w:cs="Calibri"/>
    </w:rPr>
  </w:style>
  <w:style w:type="paragraph" w:customStyle="1" w:styleId="msolistparagraphcxsplast">
    <w:name w:val="msolistparagraphcxsplast"/>
    <w:basedOn w:val="Normal"/>
    <w:pPr>
      <w:spacing w:after="200" w:line="276" w:lineRule="auto"/>
      <w:ind w:left="720"/>
    </w:pPr>
    <w:rPr>
      <w:rFonts w:ascii="Calibri" w:eastAsia="Arial Unicode MS" w:hAnsi="Calibri" w:cs="Calibri"/>
    </w:rPr>
  </w:style>
  <w:style w:type="paragraph" w:customStyle="1" w:styleId="Default">
    <w:name w:val="Default"/>
    <w:basedOn w:val="Normal"/>
    <w:pPr>
      <w:autoSpaceDE w:val="0"/>
      <w:autoSpaceDN w:val="0"/>
    </w:pPr>
    <w:rPr>
      <w:rFonts w:eastAsia="Arial Unicode MS"/>
      <w:color w:val="000000"/>
      <w:sz w:val="24"/>
      <w:szCs w:val="24"/>
    </w:rPr>
  </w:style>
  <w:style w:type="paragraph" w:customStyle="1" w:styleId="releasedate">
    <w:name w:val="releasedate"/>
    <w:basedOn w:val="Normal"/>
    <w:pPr>
      <w:spacing w:before="120" w:after="240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content1">
    <w:name w:val="content1"/>
    <w:basedOn w:val="DefaultParagraphFont"/>
    <w:rPr>
      <w:rFonts w:ascii="Arial" w:hAnsi="Arial" w:cs="Arial" w:hint="default"/>
      <w:color w:val="333333"/>
    </w:rPr>
  </w:style>
  <w:style w:type="character" w:customStyle="1" w:styleId="ecxa1">
    <w:name w:val="ecxa1"/>
    <w:basedOn w:val="DefaultParagraphFont"/>
  </w:style>
  <w:style w:type="character" w:customStyle="1" w:styleId="apple-converted-space">
    <w:name w:val="apple-converted-space"/>
    <w:basedOn w:val="DefaultParagraphFont"/>
  </w:style>
  <w:style w:type="character" w:customStyle="1" w:styleId="featuretext">
    <w:name w:val="featuretext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.gov.on.ca/eng/about/action_plan.html" TargetMode="External"/><Relationship Id="rId13" Type="http://schemas.openxmlformats.org/officeDocument/2006/relationships/hyperlink" Target="http://www.edu.gov.on.ca/eng/policyfunding/equity.html" TargetMode="External"/><Relationship Id="rId18" Type="http://schemas.openxmlformats.org/officeDocument/2006/relationships/hyperlink" Target="https://news.ontario.ca/edu/fr/2017/09/lontario-ameliore-les-opportunites-offertes-aux-eleves-afin-dassurer-leur-reussite-a-long-terme.htm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du.gov.on.ca/eng/about/action_plan.html" TargetMode="External"/><Relationship Id="rId12" Type="http://schemas.openxmlformats.org/officeDocument/2006/relationships/hyperlink" Target="http://www.edu.gov.on.ca/eng/about/excellent.html" TargetMode="External"/><Relationship Id="rId17" Type="http://schemas.openxmlformats.org/officeDocument/2006/relationships/hyperlink" Target="https://news.ontario.ca/edu/en/2017/09/ontario-boosting-opportunities-for-students-long-term-succes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ntario.ca/page/better-way-forward-ontarios-3-year-anti-racism-strategic-plan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http://media.ontarionewsroom.com/logos/ontario_logo.png" TargetMode="External"/><Relationship Id="rId11" Type="http://schemas.openxmlformats.org/officeDocument/2006/relationships/hyperlink" Target="http://www.edu.gov.on.ca/eng/about/wb_executive_summary_en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news.yorku.ca/feasibility-study-unlocking-student-potential-through-data-final-report-feb-2017/" TargetMode="External"/><Relationship Id="rId10" Type="http://schemas.openxmlformats.org/officeDocument/2006/relationships/hyperlink" Target="http://www.edu.gov.on.ca/eng/about/promote_wellbeing.html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edu.gov.on.ca/eng/about/education_equity_plan_fact_en.pdf" TargetMode="External"/><Relationship Id="rId14" Type="http://schemas.openxmlformats.org/officeDocument/2006/relationships/hyperlink" Target="http://www.edu.gov.on.ca/eng/teachers/curriculu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MGS</Company>
  <LinksUpToDate>false</LinksUpToDate>
  <CharactersWithSpaces>6056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Moore, David (EDU)</dc:creator>
  <cp:lastModifiedBy>Moore, David (EDU)</cp:lastModifiedBy>
  <cp:revision>2</cp:revision>
  <dcterms:created xsi:type="dcterms:W3CDTF">2017-09-11T14:08:00Z</dcterms:created>
  <dcterms:modified xsi:type="dcterms:W3CDTF">2017-09-11T14:08:00Z</dcterms:modified>
</cp:coreProperties>
</file>