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21" w:rsidRDefault="00342021" w:rsidP="00342021">
      <w:pPr>
        <w:spacing w:after="0"/>
        <w:jc w:val="center"/>
        <w:rPr>
          <w:rFonts w:ascii="Arial" w:hAnsi="Arial" w:cs="Arial"/>
          <w:b/>
          <w:sz w:val="28"/>
          <w:szCs w:val="28"/>
        </w:rPr>
      </w:pPr>
      <w:r w:rsidRPr="00342021">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-485775</wp:posOffset>
            </wp:positionV>
            <wp:extent cx="3105150" cy="1162050"/>
            <wp:effectExtent l="19050" t="0" r="0" b="0"/>
            <wp:wrapSquare wrapText="bothSides"/>
            <wp:docPr id="2" name="Picture 1" descr="PAAC Logo_English_FINAL_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C Logo_English_FINAL_Sept 2010"/>
                    <pic:cNvPicPr>
                      <a:picLocks noChangeAspect="1" noChangeArrowheads="1"/>
                    </pic:cNvPicPr>
                  </pic:nvPicPr>
                  <pic:blipFill>
                    <a:blip r:embed="rId8" cstate="print"/>
                    <a:srcRect/>
                    <a:stretch>
                      <a:fillRect/>
                    </a:stretch>
                  </pic:blipFill>
                  <pic:spPr bwMode="auto">
                    <a:xfrm>
                      <a:off x="0" y="0"/>
                      <a:ext cx="3105150" cy="1162050"/>
                    </a:xfrm>
                    <a:prstGeom prst="rect">
                      <a:avLst/>
                    </a:prstGeom>
                    <a:noFill/>
                    <a:ln w="9525">
                      <a:noFill/>
                      <a:miter lim="800000"/>
                      <a:headEnd/>
                      <a:tailEnd/>
                    </a:ln>
                  </pic:spPr>
                </pic:pic>
              </a:graphicData>
            </a:graphic>
          </wp:anchor>
        </w:drawing>
      </w:r>
    </w:p>
    <w:p w:rsidR="00342021" w:rsidRDefault="00342021" w:rsidP="00342021">
      <w:pPr>
        <w:spacing w:after="0"/>
        <w:jc w:val="center"/>
        <w:rPr>
          <w:rFonts w:ascii="Arial" w:hAnsi="Arial" w:cs="Arial"/>
          <w:b/>
          <w:sz w:val="28"/>
          <w:szCs w:val="28"/>
        </w:rPr>
      </w:pPr>
    </w:p>
    <w:p w:rsidR="00342021" w:rsidRDefault="00342021" w:rsidP="00342021">
      <w:pPr>
        <w:spacing w:after="0"/>
        <w:jc w:val="center"/>
        <w:rPr>
          <w:rFonts w:ascii="Arial" w:hAnsi="Arial" w:cs="Arial"/>
          <w:b/>
          <w:sz w:val="28"/>
          <w:szCs w:val="28"/>
        </w:rPr>
      </w:pPr>
    </w:p>
    <w:p w:rsidR="00342021" w:rsidRDefault="00342021" w:rsidP="00342021">
      <w:pPr>
        <w:spacing w:after="0"/>
        <w:jc w:val="center"/>
        <w:rPr>
          <w:rFonts w:ascii="Arial" w:hAnsi="Arial" w:cs="Arial"/>
          <w:b/>
          <w:sz w:val="28"/>
          <w:szCs w:val="28"/>
        </w:rPr>
      </w:pPr>
      <w:r w:rsidRPr="00342021">
        <w:rPr>
          <w:rFonts w:ascii="Arial" w:hAnsi="Arial" w:cs="Arial"/>
          <w:b/>
          <w:sz w:val="28"/>
          <w:szCs w:val="28"/>
        </w:rPr>
        <w:t xml:space="preserve">PAAC on SEAC Effective Practices Handbook for SEAC Members  </w:t>
      </w:r>
    </w:p>
    <w:p w:rsidR="00342021" w:rsidRPr="00985ADD" w:rsidRDefault="00342021" w:rsidP="00342021">
      <w:pPr>
        <w:spacing w:after="0"/>
        <w:jc w:val="center"/>
        <w:rPr>
          <w:rFonts w:ascii="Arial" w:hAnsi="Arial" w:cs="Arial"/>
          <w:b/>
          <w:i/>
          <w:sz w:val="20"/>
          <w:szCs w:val="20"/>
        </w:rPr>
      </w:pPr>
    </w:p>
    <w:p w:rsidR="00342021" w:rsidRPr="00342021" w:rsidRDefault="00342021" w:rsidP="00342021">
      <w:pPr>
        <w:spacing w:after="0"/>
        <w:jc w:val="center"/>
        <w:rPr>
          <w:rFonts w:ascii="Arial" w:hAnsi="Arial" w:cs="Arial"/>
          <w:b/>
          <w:i/>
          <w:sz w:val="28"/>
          <w:szCs w:val="28"/>
        </w:rPr>
      </w:pPr>
      <w:r w:rsidRPr="00342021">
        <w:rPr>
          <w:rFonts w:ascii="Arial" w:hAnsi="Arial" w:cs="Arial"/>
          <w:b/>
          <w:i/>
          <w:sz w:val="28"/>
          <w:szCs w:val="28"/>
        </w:rPr>
        <w:t>Examples of Effective Practices for Review of Special Education Plans and Special Education Budgets</w:t>
      </w:r>
    </w:p>
    <w:p w:rsidR="00342021" w:rsidRPr="00985ADD" w:rsidRDefault="00342021" w:rsidP="00342021">
      <w:pPr>
        <w:spacing w:after="0"/>
        <w:rPr>
          <w:rFonts w:ascii="Arial" w:hAnsi="Arial" w:cs="Arial"/>
          <w:b/>
          <w:sz w:val="20"/>
          <w:szCs w:val="20"/>
        </w:rPr>
      </w:pPr>
    </w:p>
    <w:p w:rsidR="00342021" w:rsidRDefault="00342021" w:rsidP="00342021">
      <w:pPr>
        <w:spacing w:after="0"/>
        <w:rPr>
          <w:rFonts w:ascii="Arial" w:hAnsi="Arial" w:cs="Arial"/>
          <w:b/>
          <w:sz w:val="28"/>
          <w:szCs w:val="28"/>
        </w:rPr>
      </w:pPr>
      <w:r>
        <w:rPr>
          <w:rFonts w:ascii="Arial" w:hAnsi="Arial" w:cs="Arial"/>
          <w:b/>
          <w:sz w:val="28"/>
          <w:szCs w:val="28"/>
        </w:rPr>
        <w:t>Review of Special Education Plans:</w:t>
      </w:r>
    </w:p>
    <w:p w:rsidR="009B0B6B" w:rsidRDefault="0003519A" w:rsidP="00342021">
      <w:pPr>
        <w:spacing w:after="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369570</wp:posOffset>
                </wp:positionH>
                <wp:positionV relativeFrom="paragraph">
                  <wp:posOffset>122555</wp:posOffset>
                </wp:positionV>
                <wp:extent cx="5299710" cy="2036445"/>
                <wp:effectExtent l="17145" t="18415" r="1714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2036445"/>
                        </a:xfrm>
                        <a:prstGeom prst="rect">
                          <a:avLst/>
                        </a:prstGeom>
                        <a:solidFill>
                          <a:srgbClr val="FFFFFF"/>
                        </a:solidFill>
                        <a:ln w="19050">
                          <a:solidFill>
                            <a:srgbClr val="FF0000"/>
                          </a:solidFill>
                          <a:miter lim="800000"/>
                          <a:headEnd/>
                          <a:tailEnd/>
                        </a:ln>
                      </wps:spPr>
                      <wps:txbx>
                        <w:txbxContent>
                          <w:p w:rsidR="00342021" w:rsidRDefault="00342021" w:rsidP="00342021">
                            <w:pPr>
                              <w:spacing w:after="0"/>
                              <w:jc w:val="both"/>
                              <w:rPr>
                                <w:b/>
                                <w:sz w:val="24"/>
                                <w:szCs w:val="24"/>
                              </w:rPr>
                            </w:pPr>
                            <w:r w:rsidRPr="00356258">
                              <w:rPr>
                                <w:b/>
                                <w:sz w:val="24"/>
                                <w:szCs w:val="24"/>
                              </w:rPr>
                              <w:t xml:space="preserve">Effective Practices to support SEAC participation in </w:t>
                            </w:r>
                            <w:r>
                              <w:rPr>
                                <w:b/>
                                <w:sz w:val="24"/>
                                <w:szCs w:val="24"/>
                              </w:rPr>
                              <w:t xml:space="preserve">review of </w:t>
                            </w:r>
                            <w:r w:rsidRPr="00356258">
                              <w:rPr>
                                <w:b/>
                                <w:sz w:val="24"/>
                                <w:szCs w:val="24"/>
                              </w:rPr>
                              <w:t>special education</w:t>
                            </w:r>
                            <w:r>
                              <w:rPr>
                                <w:b/>
                                <w:sz w:val="24"/>
                                <w:szCs w:val="24"/>
                              </w:rPr>
                              <w:t xml:space="preserve"> programs and services include:</w:t>
                            </w:r>
                          </w:p>
                          <w:p w:rsidR="00342021" w:rsidRPr="00342021" w:rsidRDefault="00342021" w:rsidP="00342021">
                            <w:pPr>
                              <w:pStyle w:val="ListParagraph"/>
                              <w:numPr>
                                <w:ilvl w:val="0"/>
                                <w:numId w:val="2"/>
                              </w:numPr>
                              <w:spacing w:after="0"/>
                              <w:jc w:val="both"/>
                              <w:rPr>
                                <w:b/>
                                <w:sz w:val="24"/>
                                <w:szCs w:val="24"/>
                              </w:rPr>
                            </w:pPr>
                            <w:r w:rsidRPr="00342021">
                              <w:rPr>
                                <w:sz w:val="24"/>
                                <w:szCs w:val="24"/>
                              </w:rPr>
                              <w:t>Planning regular presentations to SEAC about special education programs and services, the needs of exceptional students, and the latest research on effective interventions.</w:t>
                            </w:r>
                          </w:p>
                          <w:p w:rsidR="00342021" w:rsidRPr="00342021" w:rsidRDefault="00342021" w:rsidP="00342021">
                            <w:pPr>
                              <w:pStyle w:val="ListParagraph"/>
                              <w:numPr>
                                <w:ilvl w:val="0"/>
                                <w:numId w:val="2"/>
                              </w:numPr>
                              <w:spacing w:after="0"/>
                              <w:jc w:val="both"/>
                              <w:rPr>
                                <w:b/>
                                <w:sz w:val="24"/>
                                <w:szCs w:val="24"/>
                              </w:rPr>
                            </w:pPr>
                            <w:r w:rsidRPr="00342021">
                              <w:rPr>
                                <w:sz w:val="24"/>
                                <w:szCs w:val="24"/>
                              </w:rPr>
                              <w:t>Allowing time on each SEAC agenda for a short presentation, or discussion, on specific exceptionalities or special education programs and services.</w:t>
                            </w:r>
                          </w:p>
                          <w:p w:rsidR="00342021" w:rsidRPr="00342021" w:rsidRDefault="00342021" w:rsidP="00342021">
                            <w:pPr>
                              <w:pStyle w:val="ListParagraph"/>
                              <w:numPr>
                                <w:ilvl w:val="0"/>
                                <w:numId w:val="2"/>
                              </w:numPr>
                              <w:spacing w:after="0"/>
                              <w:jc w:val="both"/>
                              <w:rPr>
                                <w:b/>
                                <w:sz w:val="24"/>
                                <w:szCs w:val="24"/>
                              </w:rPr>
                            </w:pPr>
                            <w:r w:rsidRPr="00342021">
                              <w:rPr>
                                <w:sz w:val="24"/>
                                <w:szCs w:val="24"/>
                              </w:rPr>
                              <w:t>Inviting SEAC members to participate in working groups and sub-committees involved in program reviews, or new initiatives.</w:t>
                            </w:r>
                          </w:p>
                          <w:p w:rsidR="00342021" w:rsidRDefault="00342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9.65pt;width:417.3pt;height:1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KLAIAAFI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" strokecolor="red" strokeweight="1.5pt">
                <v:textbox>
                  <w:txbxContent>
                    <w:p w:rsidR="00342021" w:rsidRDefault="00342021" w:rsidP="00342021">
                      <w:pPr>
                        <w:spacing w:after="0"/>
                        <w:jc w:val="both"/>
                        <w:rPr>
                          <w:b/>
                          <w:sz w:val="24"/>
                          <w:szCs w:val="24"/>
                        </w:rPr>
                      </w:pPr>
                      <w:r w:rsidRPr="00356258">
                        <w:rPr>
                          <w:b/>
                          <w:sz w:val="24"/>
                          <w:szCs w:val="24"/>
                        </w:rPr>
                        <w:t xml:space="preserve">Effective Practices to support SEAC participation in </w:t>
                      </w:r>
                      <w:r>
                        <w:rPr>
                          <w:b/>
                          <w:sz w:val="24"/>
                          <w:szCs w:val="24"/>
                        </w:rPr>
                        <w:t xml:space="preserve">review of </w:t>
                      </w:r>
                      <w:r w:rsidRPr="00356258">
                        <w:rPr>
                          <w:b/>
                          <w:sz w:val="24"/>
                          <w:szCs w:val="24"/>
                        </w:rPr>
                        <w:t>special education</w:t>
                      </w:r>
                      <w:r>
                        <w:rPr>
                          <w:b/>
                          <w:sz w:val="24"/>
                          <w:szCs w:val="24"/>
                        </w:rPr>
                        <w:t xml:space="preserve"> programs and services include:</w:t>
                      </w:r>
                    </w:p>
                    <w:p w:rsidR="00342021" w:rsidRPr="00342021" w:rsidRDefault="00342021" w:rsidP="00342021">
                      <w:pPr>
                        <w:pStyle w:val="ListParagraph"/>
                        <w:numPr>
                          <w:ilvl w:val="0"/>
                          <w:numId w:val="2"/>
                        </w:numPr>
                        <w:spacing w:after="0"/>
                        <w:jc w:val="both"/>
                        <w:rPr>
                          <w:b/>
                          <w:sz w:val="24"/>
                          <w:szCs w:val="24"/>
                        </w:rPr>
                      </w:pPr>
                      <w:r w:rsidRPr="00342021">
                        <w:rPr>
                          <w:sz w:val="24"/>
                          <w:szCs w:val="24"/>
                        </w:rPr>
                        <w:t>Planning regular presentations to SEAC about special education programs and services, the needs of exceptional students, and the latest research on effective interventions.</w:t>
                      </w:r>
                    </w:p>
                    <w:p w:rsidR="00342021" w:rsidRPr="00342021" w:rsidRDefault="00342021" w:rsidP="00342021">
                      <w:pPr>
                        <w:pStyle w:val="ListParagraph"/>
                        <w:numPr>
                          <w:ilvl w:val="0"/>
                          <w:numId w:val="2"/>
                        </w:numPr>
                        <w:spacing w:after="0"/>
                        <w:jc w:val="both"/>
                        <w:rPr>
                          <w:b/>
                          <w:sz w:val="24"/>
                          <w:szCs w:val="24"/>
                        </w:rPr>
                      </w:pPr>
                      <w:r w:rsidRPr="00342021">
                        <w:rPr>
                          <w:sz w:val="24"/>
                          <w:szCs w:val="24"/>
                        </w:rPr>
                        <w:t>Allowing time on each SEAC agenda for a short presentation, or discussion, on specific exceptionalities or special education programs and services.</w:t>
                      </w:r>
                    </w:p>
                    <w:p w:rsidR="00342021" w:rsidRPr="00342021" w:rsidRDefault="00342021" w:rsidP="00342021">
                      <w:pPr>
                        <w:pStyle w:val="ListParagraph"/>
                        <w:numPr>
                          <w:ilvl w:val="0"/>
                          <w:numId w:val="2"/>
                        </w:numPr>
                        <w:spacing w:after="0"/>
                        <w:jc w:val="both"/>
                        <w:rPr>
                          <w:b/>
                          <w:sz w:val="24"/>
                          <w:szCs w:val="24"/>
                        </w:rPr>
                      </w:pPr>
                      <w:r w:rsidRPr="00342021">
                        <w:rPr>
                          <w:sz w:val="24"/>
                          <w:szCs w:val="24"/>
                        </w:rPr>
                        <w:t>Inviting SEAC members to participate in working groups and sub-committees involved in program reviews, or new initiatives.</w:t>
                      </w:r>
                    </w:p>
                    <w:p w:rsidR="00342021" w:rsidRDefault="00342021"/>
                  </w:txbxContent>
                </v:textbox>
              </v:shape>
            </w:pict>
          </mc:Fallback>
        </mc:AlternateContent>
      </w:r>
    </w:p>
    <w:p w:rsidR="009B0B6B" w:rsidRDefault="009B0B6B"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342021" w:rsidRDefault="00342021"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9B0B6B" w:rsidRDefault="009B0B6B" w:rsidP="00342021">
      <w:pPr>
        <w:spacing w:after="0"/>
        <w:rPr>
          <w:rFonts w:ascii="Arial" w:hAnsi="Arial" w:cs="Arial"/>
          <w:b/>
          <w:sz w:val="28"/>
          <w:szCs w:val="28"/>
        </w:rPr>
      </w:pPr>
    </w:p>
    <w:p w:rsidR="009B0B6B" w:rsidRDefault="009B0B6B" w:rsidP="009B0B6B">
      <w:pPr>
        <w:jc w:val="both"/>
        <w:rPr>
          <w:sz w:val="24"/>
          <w:szCs w:val="24"/>
        </w:rPr>
      </w:pPr>
      <w:r>
        <w:rPr>
          <w:sz w:val="24"/>
          <w:szCs w:val="24"/>
        </w:rPr>
        <w:t>Directives</w:t>
      </w:r>
      <w:r w:rsidRPr="00356258">
        <w:rPr>
          <w:sz w:val="24"/>
          <w:szCs w:val="24"/>
        </w:rPr>
        <w:t xml:space="preserve"> from the Ministry of Education</w:t>
      </w:r>
      <w:r>
        <w:rPr>
          <w:sz w:val="24"/>
          <w:szCs w:val="24"/>
        </w:rPr>
        <w:t>,</w:t>
      </w:r>
      <w:r w:rsidRPr="00356258">
        <w:rPr>
          <w:sz w:val="24"/>
          <w:szCs w:val="24"/>
        </w:rPr>
        <w:t xml:space="preserve"> </w:t>
      </w:r>
      <w:r>
        <w:rPr>
          <w:sz w:val="24"/>
          <w:szCs w:val="24"/>
        </w:rPr>
        <w:t xml:space="preserve">regarding </w:t>
      </w:r>
      <w:r w:rsidRPr="00356258">
        <w:rPr>
          <w:sz w:val="24"/>
          <w:szCs w:val="24"/>
        </w:rPr>
        <w:t>the Special Education Report</w:t>
      </w:r>
      <w:r>
        <w:rPr>
          <w:sz w:val="24"/>
          <w:szCs w:val="24"/>
        </w:rPr>
        <w:t>,</w:t>
      </w:r>
      <w:r w:rsidRPr="00356258">
        <w:rPr>
          <w:sz w:val="24"/>
          <w:szCs w:val="24"/>
        </w:rPr>
        <w:t xml:space="preserve"> strongly encourage the school board to make the Special Education </w:t>
      </w:r>
      <w:r>
        <w:rPr>
          <w:sz w:val="24"/>
          <w:szCs w:val="24"/>
        </w:rPr>
        <w:t>Plan</w:t>
      </w:r>
      <w:r w:rsidRPr="00356258">
        <w:rPr>
          <w:sz w:val="24"/>
          <w:szCs w:val="24"/>
        </w:rPr>
        <w:t xml:space="preserve"> accessible to the public in user</w:t>
      </w:r>
      <w:r>
        <w:rPr>
          <w:sz w:val="24"/>
          <w:szCs w:val="24"/>
        </w:rPr>
        <w:t>-</w:t>
      </w:r>
      <w:r w:rsidRPr="00356258">
        <w:rPr>
          <w:sz w:val="24"/>
          <w:szCs w:val="24"/>
        </w:rPr>
        <w:t xml:space="preserve">friendly format, on their public website. </w:t>
      </w:r>
    </w:p>
    <w:p w:rsidR="009B0B6B" w:rsidRDefault="0003519A" w:rsidP="009B0B6B">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2540</wp:posOffset>
                </wp:positionV>
                <wp:extent cx="5299710" cy="3101975"/>
                <wp:effectExtent l="17145" t="17780" r="1714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3101975"/>
                        </a:xfrm>
                        <a:prstGeom prst="rect">
                          <a:avLst/>
                        </a:prstGeom>
                        <a:solidFill>
                          <a:srgbClr val="FFFFFF"/>
                        </a:solidFill>
                        <a:ln w="19050">
                          <a:solidFill>
                            <a:srgbClr val="FF0000"/>
                          </a:solidFill>
                          <a:miter lim="800000"/>
                          <a:headEnd/>
                          <a:tailEnd/>
                        </a:ln>
                      </wps:spPr>
                      <wps:txbx>
                        <w:txbxContent>
                          <w:p w:rsidR="009626DC" w:rsidRDefault="009626DC" w:rsidP="009626DC">
                            <w:pPr>
                              <w:spacing w:after="0"/>
                              <w:jc w:val="both"/>
                              <w:rPr>
                                <w:b/>
                                <w:sz w:val="24"/>
                                <w:szCs w:val="24"/>
                              </w:rPr>
                            </w:pPr>
                            <w:r w:rsidRPr="00356258">
                              <w:rPr>
                                <w:b/>
                                <w:sz w:val="24"/>
                                <w:szCs w:val="24"/>
                              </w:rPr>
                              <w:t xml:space="preserve">Effective Practices to ensure the Special Education </w:t>
                            </w:r>
                            <w:r>
                              <w:rPr>
                                <w:b/>
                                <w:sz w:val="24"/>
                                <w:szCs w:val="24"/>
                              </w:rPr>
                              <w:t>Plan/</w:t>
                            </w:r>
                            <w:r w:rsidRPr="00356258">
                              <w:rPr>
                                <w:b/>
                                <w:sz w:val="24"/>
                                <w:szCs w:val="24"/>
                              </w:rPr>
                              <w:t xml:space="preserve">Report is accessible </w:t>
                            </w:r>
                            <w:r>
                              <w:rPr>
                                <w:b/>
                                <w:sz w:val="24"/>
                                <w:szCs w:val="24"/>
                              </w:rPr>
                              <w:t>and easy to understand include:</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Reviewing key documents, including the Standards for Special </w:t>
                            </w:r>
                            <w:r w:rsidR="00985ADD">
                              <w:rPr>
                                <w:sz w:val="24"/>
                                <w:szCs w:val="24"/>
                              </w:rPr>
                              <w:t>Education Plans (2000) and the c</w:t>
                            </w:r>
                            <w:r w:rsidRPr="009626DC">
                              <w:rPr>
                                <w:sz w:val="24"/>
                                <w:szCs w:val="24"/>
                              </w:rPr>
                              <w:t xml:space="preserve">omponents included in the </w:t>
                            </w:r>
                            <w:r w:rsidR="00985ADD">
                              <w:rPr>
                                <w:sz w:val="24"/>
                                <w:szCs w:val="24"/>
                              </w:rPr>
                              <w:t xml:space="preserve">annual </w:t>
                            </w:r>
                            <w:r w:rsidRPr="009626DC">
                              <w:rPr>
                                <w:sz w:val="24"/>
                                <w:szCs w:val="24"/>
                              </w:rPr>
                              <w:t>Spe</w:t>
                            </w:r>
                            <w:r w:rsidR="00985ADD">
                              <w:rPr>
                                <w:sz w:val="24"/>
                                <w:szCs w:val="24"/>
                              </w:rPr>
                              <w:t>cial Education Report Checklist</w:t>
                            </w:r>
                            <w:r w:rsidRPr="009626DC">
                              <w:rPr>
                                <w:sz w:val="24"/>
                                <w:szCs w:val="24"/>
                              </w:rPr>
                              <w:t>, to determine what information is to be included in the Special Education Report.</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Reviewing each section of the Special Education </w:t>
                            </w:r>
                            <w:r w:rsidR="00985ADD">
                              <w:rPr>
                                <w:sz w:val="24"/>
                                <w:szCs w:val="24"/>
                              </w:rPr>
                              <w:t>Plan</w:t>
                            </w:r>
                            <w:r w:rsidRPr="009626DC">
                              <w:rPr>
                                <w:sz w:val="24"/>
                                <w:szCs w:val="24"/>
                              </w:rPr>
                              <w:t xml:space="preserve"> to make sure that it is easy to understand and written in a user friendly style.</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Providing suggestions as to how the information can be made accessible to parents, students and the general public. </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Providing </w:t>
                            </w:r>
                            <w:r w:rsidR="00985ADD">
                              <w:rPr>
                                <w:sz w:val="24"/>
                                <w:szCs w:val="24"/>
                              </w:rPr>
                              <w:t xml:space="preserve">the complete </w:t>
                            </w:r>
                            <w:r w:rsidRPr="009626DC">
                              <w:rPr>
                                <w:sz w:val="24"/>
                                <w:szCs w:val="24"/>
                              </w:rPr>
                              <w:t xml:space="preserve">Special Education </w:t>
                            </w:r>
                            <w:r w:rsidR="00985ADD">
                              <w:rPr>
                                <w:sz w:val="24"/>
                                <w:szCs w:val="24"/>
                              </w:rPr>
                              <w:t>Plan</w:t>
                            </w:r>
                            <w:r w:rsidRPr="009626DC">
                              <w:rPr>
                                <w:sz w:val="24"/>
                                <w:szCs w:val="24"/>
                              </w:rPr>
                              <w:t xml:space="preserve"> on the school board website; providing printed copies at key locations, including school libraries, school offices, information displays and parent resource centers; and, developing a flyer or handout for parents.</w:t>
                            </w:r>
                          </w:p>
                          <w:p w:rsidR="009B0B6B" w:rsidRDefault="009B0B6B" w:rsidP="009B0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9.1pt;margin-top:.2pt;width:417.3pt;height:2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" strokecolor="red" strokeweight="1.5pt">
                <v:textbox>
                  <w:txbxContent>
                    <w:p w:rsidR="009626DC" w:rsidRDefault="009626DC" w:rsidP="009626DC">
                      <w:pPr>
                        <w:spacing w:after="0"/>
                        <w:jc w:val="both"/>
                        <w:rPr>
                          <w:b/>
                          <w:sz w:val="24"/>
                          <w:szCs w:val="24"/>
                        </w:rPr>
                      </w:pPr>
                      <w:r w:rsidRPr="00356258">
                        <w:rPr>
                          <w:b/>
                          <w:sz w:val="24"/>
                          <w:szCs w:val="24"/>
                        </w:rPr>
                        <w:t xml:space="preserve">Effective Practices to ensure the Special Education </w:t>
                      </w:r>
                      <w:r>
                        <w:rPr>
                          <w:b/>
                          <w:sz w:val="24"/>
                          <w:szCs w:val="24"/>
                        </w:rPr>
                        <w:t>Plan/</w:t>
                      </w:r>
                      <w:r w:rsidRPr="00356258">
                        <w:rPr>
                          <w:b/>
                          <w:sz w:val="24"/>
                          <w:szCs w:val="24"/>
                        </w:rPr>
                        <w:t xml:space="preserve">Report is accessible </w:t>
                      </w:r>
                      <w:r>
                        <w:rPr>
                          <w:b/>
                          <w:sz w:val="24"/>
                          <w:szCs w:val="24"/>
                        </w:rPr>
                        <w:t>and easy to understand include:</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Reviewing key documents, including the Standards for Special </w:t>
                      </w:r>
                      <w:r w:rsidR="00985ADD">
                        <w:rPr>
                          <w:sz w:val="24"/>
                          <w:szCs w:val="24"/>
                        </w:rPr>
                        <w:t>Education Plans (2000) and the c</w:t>
                      </w:r>
                      <w:r w:rsidRPr="009626DC">
                        <w:rPr>
                          <w:sz w:val="24"/>
                          <w:szCs w:val="24"/>
                        </w:rPr>
                        <w:t xml:space="preserve">omponents included in the </w:t>
                      </w:r>
                      <w:r w:rsidR="00985ADD">
                        <w:rPr>
                          <w:sz w:val="24"/>
                          <w:szCs w:val="24"/>
                        </w:rPr>
                        <w:t xml:space="preserve">annual </w:t>
                      </w:r>
                      <w:r w:rsidRPr="009626DC">
                        <w:rPr>
                          <w:sz w:val="24"/>
                          <w:szCs w:val="24"/>
                        </w:rPr>
                        <w:t>Spe</w:t>
                      </w:r>
                      <w:r w:rsidR="00985ADD">
                        <w:rPr>
                          <w:sz w:val="24"/>
                          <w:szCs w:val="24"/>
                        </w:rPr>
                        <w:t>cial Education Report Checklist</w:t>
                      </w:r>
                      <w:r w:rsidRPr="009626DC">
                        <w:rPr>
                          <w:sz w:val="24"/>
                          <w:szCs w:val="24"/>
                        </w:rPr>
                        <w:t>, to determine what information is to be included in the Special Education Report.</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Reviewing each section of the Special Education </w:t>
                      </w:r>
                      <w:r w:rsidR="00985ADD">
                        <w:rPr>
                          <w:sz w:val="24"/>
                          <w:szCs w:val="24"/>
                        </w:rPr>
                        <w:t>Plan</w:t>
                      </w:r>
                      <w:r w:rsidRPr="009626DC">
                        <w:rPr>
                          <w:sz w:val="24"/>
                          <w:szCs w:val="24"/>
                        </w:rPr>
                        <w:t xml:space="preserve"> to make sure that it is easy to understand and written in a user friendly style.</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Providing suggestions as to how the information can be made accessible to parents, students and the general public. </w:t>
                      </w:r>
                    </w:p>
                    <w:p w:rsidR="009626DC" w:rsidRPr="009626DC" w:rsidRDefault="009626DC" w:rsidP="009626DC">
                      <w:pPr>
                        <w:pStyle w:val="ListParagraph"/>
                        <w:numPr>
                          <w:ilvl w:val="0"/>
                          <w:numId w:val="4"/>
                        </w:numPr>
                        <w:spacing w:after="0"/>
                        <w:jc w:val="both"/>
                        <w:rPr>
                          <w:b/>
                          <w:sz w:val="24"/>
                          <w:szCs w:val="24"/>
                        </w:rPr>
                      </w:pPr>
                      <w:r w:rsidRPr="009626DC">
                        <w:rPr>
                          <w:sz w:val="24"/>
                          <w:szCs w:val="24"/>
                        </w:rPr>
                        <w:t xml:space="preserve">Providing </w:t>
                      </w:r>
                      <w:r w:rsidR="00985ADD">
                        <w:rPr>
                          <w:sz w:val="24"/>
                          <w:szCs w:val="24"/>
                        </w:rPr>
                        <w:t xml:space="preserve">the complete </w:t>
                      </w:r>
                      <w:r w:rsidRPr="009626DC">
                        <w:rPr>
                          <w:sz w:val="24"/>
                          <w:szCs w:val="24"/>
                        </w:rPr>
                        <w:t xml:space="preserve">Special Education </w:t>
                      </w:r>
                      <w:r w:rsidR="00985ADD">
                        <w:rPr>
                          <w:sz w:val="24"/>
                          <w:szCs w:val="24"/>
                        </w:rPr>
                        <w:t>Plan</w:t>
                      </w:r>
                      <w:r w:rsidRPr="009626DC">
                        <w:rPr>
                          <w:sz w:val="24"/>
                          <w:szCs w:val="24"/>
                        </w:rPr>
                        <w:t xml:space="preserve"> on the school board website; providing printed copies at key locations, including school libraries, school offices, information displays and parent resource centers; and, developing a flyer or handout for parents.</w:t>
                      </w:r>
                    </w:p>
                    <w:p w:rsidR="009B0B6B" w:rsidRDefault="009B0B6B" w:rsidP="009B0B6B"/>
                  </w:txbxContent>
                </v:textbox>
              </v:shape>
            </w:pict>
          </mc:Fallback>
        </mc:AlternateContent>
      </w:r>
    </w:p>
    <w:p w:rsidR="009B0B6B" w:rsidRDefault="009B0B6B" w:rsidP="009B0B6B">
      <w:pPr>
        <w:jc w:val="both"/>
        <w:rPr>
          <w:sz w:val="24"/>
          <w:szCs w:val="24"/>
        </w:rPr>
      </w:pPr>
      <w:r w:rsidRPr="00356258">
        <w:rPr>
          <w:sz w:val="24"/>
          <w:szCs w:val="24"/>
        </w:rPr>
        <w:t xml:space="preserve">  </w:t>
      </w: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Default="009626DC" w:rsidP="009B0B6B">
      <w:pPr>
        <w:spacing w:after="0"/>
        <w:jc w:val="both"/>
        <w:rPr>
          <w:b/>
          <w:sz w:val="24"/>
          <w:szCs w:val="24"/>
        </w:rPr>
      </w:pPr>
    </w:p>
    <w:p w:rsidR="009626DC" w:rsidRPr="00291AD4" w:rsidRDefault="009626DC" w:rsidP="009626DC">
      <w:pPr>
        <w:jc w:val="both"/>
        <w:rPr>
          <w:sz w:val="24"/>
          <w:szCs w:val="24"/>
        </w:rPr>
      </w:pPr>
      <w:r>
        <w:rPr>
          <w:sz w:val="24"/>
          <w:szCs w:val="24"/>
        </w:rPr>
        <w:lastRenderedPageBreak/>
        <w:t>Public consultation is a key part of the</w:t>
      </w:r>
      <w:r w:rsidR="00985ADD">
        <w:rPr>
          <w:sz w:val="24"/>
          <w:szCs w:val="24"/>
        </w:rPr>
        <w:t xml:space="preserve"> Special Education Plan Review </w:t>
      </w:r>
      <w:r>
        <w:rPr>
          <w:sz w:val="24"/>
          <w:szCs w:val="24"/>
        </w:rPr>
        <w:t xml:space="preserve">and SEAC also has an important role in public consultations about special education and changes in programs and services.  </w:t>
      </w:r>
    </w:p>
    <w:p w:rsidR="009626DC" w:rsidRDefault="0003519A" w:rsidP="009626DC">
      <w:pPr>
        <w:spacing w:after="0"/>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332740</wp:posOffset>
                </wp:positionH>
                <wp:positionV relativeFrom="paragraph">
                  <wp:posOffset>9525</wp:posOffset>
                </wp:positionV>
                <wp:extent cx="5514975" cy="1845310"/>
                <wp:effectExtent l="18415" t="16510" r="10160"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45310"/>
                        </a:xfrm>
                        <a:prstGeom prst="rect">
                          <a:avLst/>
                        </a:prstGeom>
                        <a:solidFill>
                          <a:srgbClr val="FFFFFF"/>
                        </a:solidFill>
                        <a:ln w="19050">
                          <a:solidFill>
                            <a:srgbClr val="FF0000"/>
                          </a:solidFill>
                          <a:miter lim="800000"/>
                          <a:headEnd/>
                          <a:tailEnd/>
                        </a:ln>
                      </wps:spPr>
                      <wps:txbx>
                        <w:txbxContent>
                          <w:p w:rsidR="00764C19" w:rsidRDefault="009626DC" w:rsidP="00764C19">
                            <w:pPr>
                              <w:spacing w:after="0"/>
                              <w:rPr>
                                <w:b/>
                                <w:sz w:val="24"/>
                                <w:szCs w:val="24"/>
                              </w:rPr>
                            </w:pPr>
                            <w:r w:rsidRPr="00291AD4">
                              <w:rPr>
                                <w:b/>
                                <w:sz w:val="24"/>
                                <w:szCs w:val="24"/>
                              </w:rPr>
                              <w:t>Effective practices to enhance parent engagemen</w:t>
                            </w:r>
                            <w:r>
                              <w:rPr>
                                <w:b/>
                                <w:sz w:val="24"/>
                                <w:szCs w:val="24"/>
                              </w:rPr>
                              <w:t>t in special education include:</w:t>
                            </w:r>
                          </w:p>
                          <w:p w:rsidR="00764C19" w:rsidRPr="00764C19" w:rsidRDefault="009626DC" w:rsidP="00764C19">
                            <w:pPr>
                              <w:pStyle w:val="ListParagraph"/>
                              <w:numPr>
                                <w:ilvl w:val="0"/>
                                <w:numId w:val="7"/>
                              </w:numPr>
                              <w:spacing w:after="0"/>
                              <w:rPr>
                                <w:b/>
                                <w:sz w:val="24"/>
                                <w:szCs w:val="24"/>
                              </w:rPr>
                            </w:pPr>
                            <w:r w:rsidRPr="00764C19">
                              <w:rPr>
                                <w:sz w:val="24"/>
                                <w:szCs w:val="24"/>
                              </w:rPr>
                              <w:t>Inviting P</w:t>
                            </w:r>
                            <w:r w:rsidR="00764C19">
                              <w:rPr>
                                <w:sz w:val="24"/>
                                <w:szCs w:val="24"/>
                              </w:rPr>
                              <w:t>arent Involvement Committee (P</w:t>
                            </w:r>
                            <w:r w:rsidRPr="00764C19">
                              <w:rPr>
                                <w:sz w:val="24"/>
                                <w:szCs w:val="24"/>
                              </w:rPr>
                              <w:t>IC</w:t>
                            </w:r>
                            <w:r w:rsidR="00764C19">
                              <w:rPr>
                                <w:sz w:val="24"/>
                                <w:szCs w:val="24"/>
                              </w:rPr>
                              <w:t>)</w:t>
                            </w:r>
                            <w:r w:rsidRPr="00764C19">
                              <w:rPr>
                                <w:sz w:val="24"/>
                                <w:szCs w:val="24"/>
                              </w:rPr>
                              <w:t xml:space="preserve"> members and members of School Councils to public consultations about special education.</w:t>
                            </w:r>
                          </w:p>
                          <w:p w:rsidR="00764C19" w:rsidRPr="00764C19" w:rsidRDefault="009626DC" w:rsidP="00764C19">
                            <w:pPr>
                              <w:pStyle w:val="ListParagraph"/>
                              <w:numPr>
                                <w:ilvl w:val="0"/>
                                <w:numId w:val="7"/>
                              </w:numPr>
                              <w:spacing w:after="0"/>
                              <w:rPr>
                                <w:b/>
                                <w:sz w:val="24"/>
                                <w:szCs w:val="24"/>
                              </w:rPr>
                            </w:pPr>
                            <w:r w:rsidRPr="00764C19">
                              <w:rPr>
                                <w:sz w:val="24"/>
                                <w:szCs w:val="24"/>
                              </w:rPr>
                              <w:t>Making presentations to PIC members on an annual or regular basis about SEAC, special education and annual planning for special education programs and services.</w:t>
                            </w:r>
                          </w:p>
                          <w:p w:rsidR="009626DC" w:rsidRPr="00764C19" w:rsidRDefault="009626DC" w:rsidP="00764C19">
                            <w:pPr>
                              <w:pStyle w:val="ListParagraph"/>
                              <w:numPr>
                                <w:ilvl w:val="0"/>
                                <w:numId w:val="7"/>
                              </w:numPr>
                              <w:spacing w:after="0"/>
                              <w:rPr>
                                <w:b/>
                                <w:sz w:val="24"/>
                                <w:szCs w:val="24"/>
                              </w:rPr>
                            </w:pPr>
                            <w:r w:rsidRPr="00764C19">
                              <w:rPr>
                                <w:sz w:val="24"/>
                                <w:szCs w:val="24"/>
                              </w:rPr>
                              <w:t>Requesting PIC members, and School Council Chairs, to share important information about SEAC or special education with families.</w:t>
                            </w:r>
                          </w:p>
                          <w:p w:rsidR="009626DC" w:rsidRDefault="00962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2pt;margin-top:.75pt;width:434.25pt;height:1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" strokecolor="red" strokeweight="1.5pt">
                <v:textbox>
                  <w:txbxContent>
                    <w:p w:rsidR="00764C19" w:rsidRDefault="009626DC" w:rsidP="00764C19">
                      <w:pPr>
                        <w:spacing w:after="0"/>
                        <w:rPr>
                          <w:b/>
                          <w:sz w:val="24"/>
                          <w:szCs w:val="24"/>
                        </w:rPr>
                      </w:pPr>
                      <w:r w:rsidRPr="00291AD4">
                        <w:rPr>
                          <w:b/>
                          <w:sz w:val="24"/>
                          <w:szCs w:val="24"/>
                        </w:rPr>
                        <w:t>Effective practices to enhance parent engagemen</w:t>
                      </w:r>
                      <w:r>
                        <w:rPr>
                          <w:b/>
                          <w:sz w:val="24"/>
                          <w:szCs w:val="24"/>
                        </w:rPr>
                        <w:t>t in special education include:</w:t>
                      </w:r>
                    </w:p>
                    <w:p w:rsidR="00764C19" w:rsidRPr="00764C19" w:rsidRDefault="009626DC" w:rsidP="00764C19">
                      <w:pPr>
                        <w:pStyle w:val="ListParagraph"/>
                        <w:numPr>
                          <w:ilvl w:val="0"/>
                          <w:numId w:val="7"/>
                        </w:numPr>
                        <w:spacing w:after="0"/>
                        <w:rPr>
                          <w:b/>
                          <w:sz w:val="24"/>
                          <w:szCs w:val="24"/>
                        </w:rPr>
                      </w:pPr>
                      <w:r w:rsidRPr="00764C19">
                        <w:rPr>
                          <w:sz w:val="24"/>
                          <w:szCs w:val="24"/>
                        </w:rPr>
                        <w:t>Inviting P</w:t>
                      </w:r>
                      <w:r w:rsidR="00764C19">
                        <w:rPr>
                          <w:sz w:val="24"/>
                          <w:szCs w:val="24"/>
                        </w:rPr>
                        <w:t>arent Involvement Committee (P</w:t>
                      </w:r>
                      <w:r w:rsidRPr="00764C19">
                        <w:rPr>
                          <w:sz w:val="24"/>
                          <w:szCs w:val="24"/>
                        </w:rPr>
                        <w:t>IC</w:t>
                      </w:r>
                      <w:r w:rsidR="00764C19">
                        <w:rPr>
                          <w:sz w:val="24"/>
                          <w:szCs w:val="24"/>
                        </w:rPr>
                        <w:t>)</w:t>
                      </w:r>
                      <w:r w:rsidRPr="00764C19">
                        <w:rPr>
                          <w:sz w:val="24"/>
                          <w:szCs w:val="24"/>
                        </w:rPr>
                        <w:t xml:space="preserve"> members and members of School Councils to public consultations about special education.</w:t>
                      </w:r>
                    </w:p>
                    <w:p w:rsidR="00764C19" w:rsidRPr="00764C19" w:rsidRDefault="009626DC" w:rsidP="00764C19">
                      <w:pPr>
                        <w:pStyle w:val="ListParagraph"/>
                        <w:numPr>
                          <w:ilvl w:val="0"/>
                          <w:numId w:val="7"/>
                        </w:numPr>
                        <w:spacing w:after="0"/>
                        <w:rPr>
                          <w:b/>
                          <w:sz w:val="24"/>
                          <w:szCs w:val="24"/>
                        </w:rPr>
                      </w:pPr>
                      <w:r w:rsidRPr="00764C19">
                        <w:rPr>
                          <w:sz w:val="24"/>
                          <w:szCs w:val="24"/>
                        </w:rPr>
                        <w:t>Making presentations to PIC members on an annual or regular basis about SEAC, special education and annual planning for special education programs and services.</w:t>
                      </w:r>
                    </w:p>
                    <w:p w:rsidR="009626DC" w:rsidRPr="00764C19" w:rsidRDefault="009626DC" w:rsidP="00764C19">
                      <w:pPr>
                        <w:pStyle w:val="ListParagraph"/>
                        <w:numPr>
                          <w:ilvl w:val="0"/>
                          <w:numId w:val="7"/>
                        </w:numPr>
                        <w:spacing w:after="0"/>
                        <w:rPr>
                          <w:b/>
                          <w:sz w:val="24"/>
                          <w:szCs w:val="24"/>
                        </w:rPr>
                      </w:pPr>
                      <w:r w:rsidRPr="00764C19">
                        <w:rPr>
                          <w:sz w:val="24"/>
                          <w:szCs w:val="24"/>
                        </w:rPr>
                        <w:t>Requesting PIC members, and School Council Chairs, to share important information about SEAC or special education with families.</w:t>
                      </w:r>
                    </w:p>
                    <w:p w:rsidR="009626DC" w:rsidRDefault="009626DC"/>
                  </w:txbxContent>
                </v:textbox>
              </v:shape>
            </w:pict>
          </mc:Fallback>
        </mc:AlternateContent>
      </w: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85ADD" w:rsidP="009626DC">
      <w:pPr>
        <w:spacing w:after="0"/>
        <w:rPr>
          <w:b/>
          <w:sz w:val="28"/>
          <w:szCs w:val="28"/>
        </w:rPr>
      </w:pPr>
      <w:r>
        <w:rPr>
          <w:b/>
          <w:sz w:val="28"/>
          <w:szCs w:val="28"/>
        </w:rPr>
        <w:t xml:space="preserve">Review of </w:t>
      </w:r>
      <w:r w:rsidR="00764C19" w:rsidRPr="00764C19">
        <w:rPr>
          <w:b/>
          <w:sz w:val="28"/>
          <w:szCs w:val="28"/>
        </w:rPr>
        <w:t>Special Education Budget</w:t>
      </w:r>
    </w:p>
    <w:p w:rsidR="00985ADD" w:rsidRDefault="00764C19" w:rsidP="00764C19">
      <w:pPr>
        <w:spacing w:after="100"/>
        <w:jc w:val="both"/>
        <w:rPr>
          <w:b/>
          <w:sz w:val="24"/>
          <w:szCs w:val="24"/>
        </w:rPr>
      </w:pPr>
      <w:r>
        <w:rPr>
          <w:sz w:val="24"/>
          <w:szCs w:val="24"/>
        </w:rPr>
        <w:t xml:space="preserve">Under Regulation 464/97, </w:t>
      </w:r>
      <w:r w:rsidRPr="00263A8F">
        <w:rPr>
          <w:sz w:val="24"/>
          <w:szCs w:val="24"/>
        </w:rPr>
        <w:t>SEAC members are to have the opportunity to participate in the special education budg</w:t>
      </w:r>
      <w:r>
        <w:rPr>
          <w:sz w:val="24"/>
          <w:szCs w:val="24"/>
        </w:rPr>
        <w:t>e</w:t>
      </w:r>
      <w:r w:rsidRPr="00263A8F">
        <w:rPr>
          <w:sz w:val="24"/>
          <w:szCs w:val="24"/>
        </w:rPr>
        <w:t xml:space="preserve">t planning process.   Each school board has a different process for the development of budgets, often including the establishment of a Budget committee or ad hoc group.  </w:t>
      </w:r>
      <w:r w:rsidRPr="00795EB4">
        <w:rPr>
          <w:b/>
          <w:sz w:val="24"/>
          <w:szCs w:val="24"/>
        </w:rPr>
        <w:t xml:space="preserve">PAAC on SEAC </w:t>
      </w:r>
      <w:r w:rsidRPr="00F86460">
        <w:rPr>
          <w:b/>
          <w:sz w:val="24"/>
          <w:szCs w:val="24"/>
        </w:rPr>
        <w:t>recommends that SEAC members be kept informed of the budget process and timelines.</w:t>
      </w:r>
    </w:p>
    <w:p w:rsidR="00985ADD" w:rsidRPr="00795EB4" w:rsidRDefault="00985ADD" w:rsidP="00764C19">
      <w:pPr>
        <w:spacing w:after="100"/>
        <w:jc w:val="both"/>
        <w:rPr>
          <w:b/>
          <w:sz w:val="24"/>
          <w:szCs w:val="24"/>
        </w:rPr>
      </w:pPr>
    </w:p>
    <w:p w:rsidR="00764C19" w:rsidRPr="00764C19" w:rsidRDefault="0003519A" w:rsidP="009626DC">
      <w:pPr>
        <w:spacing w:after="0"/>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332740</wp:posOffset>
                </wp:positionH>
                <wp:positionV relativeFrom="paragraph">
                  <wp:posOffset>52070</wp:posOffset>
                </wp:positionV>
                <wp:extent cx="5560060" cy="3437890"/>
                <wp:effectExtent l="18415" t="10160" r="1270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3437890"/>
                        </a:xfrm>
                        <a:prstGeom prst="rect">
                          <a:avLst/>
                        </a:prstGeom>
                        <a:solidFill>
                          <a:srgbClr val="FFFFFF"/>
                        </a:solidFill>
                        <a:ln w="19050">
                          <a:solidFill>
                            <a:srgbClr val="FF0000"/>
                          </a:solidFill>
                          <a:miter lim="800000"/>
                          <a:headEnd/>
                          <a:tailEnd/>
                        </a:ln>
                      </wps:spPr>
                      <wps:txbx>
                        <w:txbxContent>
                          <w:p w:rsidR="00764C19" w:rsidRDefault="00764C19" w:rsidP="00764C19">
                            <w:pPr>
                              <w:spacing w:after="0"/>
                              <w:jc w:val="both"/>
                              <w:rPr>
                                <w:b/>
                                <w:sz w:val="24"/>
                                <w:szCs w:val="24"/>
                              </w:rPr>
                            </w:pPr>
                            <w:r w:rsidRPr="00263A8F">
                              <w:rPr>
                                <w:b/>
                                <w:sz w:val="24"/>
                                <w:szCs w:val="24"/>
                              </w:rPr>
                              <w:t xml:space="preserve">Effective Practices to support SEAC participation in </w:t>
                            </w:r>
                            <w:r>
                              <w:rPr>
                                <w:b/>
                                <w:sz w:val="24"/>
                                <w:szCs w:val="24"/>
                              </w:rPr>
                              <w:t xml:space="preserve">budget </w:t>
                            </w:r>
                            <w:r w:rsidRPr="00263A8F">
                              <w:rPr>
                                <w:b/>
                                <w:sz w:val="24"/>
                                <w:szCs w:val="24"/>
                              </w:rPr>
                              <w:t xml:space="preserve">planning </w:t>
                            </w:r>
                            <w:r>
                              <w:rPr>
                                <w:b/>
                                <w:sz w:val="24"/>
                                <w:szCs w:val="24"/>
                              </w:rPr>
                              <w:t>for</w:t>
                            </w:r>
                            <w:r w:rsidRPr="00263A8F">
                              <w:rPr>
                                <w:b/>
                                <w:sz w:val="24"/>
                                <w:szCs w:val="24"/>
                              </w:rPr>
                              <w:t xml:space="preserve"> special education</w:t>
                            </w:r>
                            <w:r>
                              <w:rPr>
                                <w:b/>
                                <w:sz w:val="24"/>
                                <w:szCs w:val="24"/>
                              </w:rPr>
                              <w:t xml:space="preserve"> programs and services include:</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Providing SEAC members with orientation and training regarding financial statements, the Special Education Grant, revenues and expenditures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Providing timely information on the Special Education Grant each year when Ministry of Education releases the grant regulations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Inviting SEAC members to participate in Budget Committee or working groups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Providing regular updates on Financial Statements and the budget process at SEAC meetings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Relating special education budget information to statistical information about students provided in October Reports of Numbers of Elementary and Secondary Students, and to numbers of staff assigned annually to special education roles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Planning a SEAC presentation to Trustees as part of public consultation on the annual school board budget.</w:t>
                            </w:r>
                          </w:p>
                          <w:p w:rsidR="00764C19" w:rsidRDefault="00764C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6.2pt;margin-top:4.1pt;width:437.8pt;height:27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" strokecolor="red" strokeweight="1.5pt">
                <v:textbox>
                  <w:txbxContent>
                    <w:p w:rsidR="00764C19" w:rsidRDefault="00764C19" w:rsidP="00764C19">
                      <w:pPr>
                        <w:spacing w:after="0"/>
                        <w:jc w:val="both"/>
                        <w:rPr>
                          <w:b/>
                          <w:sz w:val="24"/>
                          <w:szCs w:val="24"/>
                        </w:rPr>
                      </w:pPr>
                      <w:r w:rsidRPr="00263A8F">
                        <w:rPr>
                          <w:b/>
                          <w:sz w:val="24"/>
                          <w:szCs w:val="24"/>
                        </w:rPr>
                        <w:t xml:space="preserve">Effective Practices to support SEAC participation in </w:t>
                      </w:r>
                      <w:r>
                        <w:rPr>
                          <w:b/>
                          <w:sz w:val="24"/>
                          <w:szCs w:val="24"/>
                        </w:rPr>
                        <w:t xml:space="preserve">budget </w:t>
                      </w:r>
                      <w:r w:rsidRPr="00263A8F">
                        <w:rPr>
                          <w:b/>
                          <w:sz w:val="24"/>
                          <w:szCs w:val="24"/>
                        </w:rPr>
                        <w:t xml:space="preserve">planning </w:t>
                      </w:r>
                      <w:r>
                        <w:rPr>
                          <w:b/>
                          <w:sz w:val="24"/>
                          <w:szCs w:val="24"/>
                        </w:rPr>
                        <w:t>for</w:t>
                      </w:r>
                      <w:r w:rsidRPr="00263A8F">
                        <w:rPr>
                          <w:b/>
                          <w:sz w:val="24"/>
                          <w:szCs w:val="24"/>
                        </w:rPr>
                        <w:t xml:space="preserve"> special education</w:t>
                      </w:r>
                      <w:r>
                        <w:rPr>
                          <w:b/>
                          <w:sz w:val="24"/>
                          <w:szCs w:val="24"/>
                        </w:rPr>
                        <w:t xml:space="preserve"> programs and services include:</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Providing SEAC members with orientation and training regarding financial statements, the Special Education Grant, revenues and expenditures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Providing timely information on the Special Education Grant each year when Ministry of Education releases the grant regulations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Inviting SEAC members to participate in Budget Committee or working groups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Providing regular updates on Financial Statements and the budget process at SEAC meetings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Relating special education budget information to statistical information about students provided in October Reports of Numbers of Elementary and Secondary Students, and to numbers of staff assigned annually to special education roles</w:t>
                      </w:r>
                    </w:p>
                    <w:p w:rsidR="00764C19" w:rsidRPr="00764C19" w:rsidRDefault="00764C19" w:rsidP="00764C19">
                      <w:pPr>
                        <w:pStyle w:val="ListParagraph"/>
                        <w:numPr>
                          <w:ilvl w:val="0"/>
                          <w:numId w:val="9"/>
                        </w:numPr>
                        <w:spacing w:after="0"/>
                        <w:jc w:val="both"/>
                        <w:rPr>
                          <w:b/>
                          <w:sz w:val="24"/>
                          <w:szCs w:val="24"/>
                        </w:rPr>
                      </w:pPr>
                      <w:r w:rsidRPr="00764C19">
                        <w:rPr>
                          <w:sz w:val="24"/>
                          <w:szCs w:val="24"/>
                        </w:rPr>
                        <w:t>Planning a SEAC presentation to Trustees as part of public consultation on the annual school board budget.</w:t>
                      </w:r>
                    </w:p>
                    <w:p w:rsidR="00764C19" w:rsidRDefault="00764C19"/>
                  </w:txbxContent>
                </v:textbox>
              </v:shape>
            </w:pict>
          </mc:Fallback>
        </mc:AlternateContent>
      </w: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9626DC" w:rsidRDefault="009626DC" w:rsidP="009626DC">
      <w:pPr>
        <w:spacing w:after="0"/>
        <w:rPr>
          <w:b/>
          <w:sz w:val="24"/>
          <w:szCs w:val="24"/>
        </w:rPr>
      </w:pPr>
    </w:p>
    <w:p w:rsidR="00764C19" w:rsidRDefault="00764C19" w:rsidP="009626DC">
      <w:pPr>
        <w:spacing w:after="0"/>
        <w:rPr>
          <w:b/>
          <w:sz w:val="24"/>
          <w:szCs w:val="24"/>
        </w:rPr>
      </w:pPr>
    </w:p>
    <w:p w:rsidR="00764C19" w:rsidRDefault="00764C19" w:rsidP="009626DC">
      <w:pPr>
        <w:spacing w:after="0"/>
        <w:rPr>
          <w:b/>
          <w:sz w:val="24"/>
          <w:szCs w:val="24"/>
        </w:rPr>
      </w:pPr>
    </w:p>
    <w:p w:rsidR="00764C19" w:rsidRDefault="00764C19" w:rsidP="009626DC">
      <w:pPr>
        <w:spacing w:after="0"/>
        <w:rPr>
          <w:b/>
          <w:sz w:val="24"/>
          <w:szCs w:val="24"/>
        </w:rPr>
      </w:pPr>
    </w:p>
    <w:p w:rsidR="00764C19" w:rsidRDefault="00764C19" w:rsidP="009626DC">
      <w:pPr>
        <w:spacing w:after="0"/>
        <w:rPr>
          <w:b/>
          <w:sz w:val="24"/>
          <w:szCs w:val="24"/>
        </w:rPr>
      </w:pPr>
    </w:p>
    <w:p w:rsidR="00764C19" w:rsidRDefault="00764C19" w:rsidP="009626DC">
      <w:pPr>
        <w:spacing w:after="0"/>
        <w:rPr>
          <w:b/>
          <w:sz w:val="24"/>
          <w:szCs w:val="24"/>
        </w:rPr>
      </w:pPr>
    </w:p>
    <w:p w:rsidR="00764C19" w:rsidRDefault="00764C19" w:rsidP="009626DC">
      <w:pPr>
        <w:spacing w:after="0"/>
        <w:rPr>
          <w:b/>
          <w:sz w:val="24"/>
          <w:szCs w:val="24"/>
        </w:rPr>
      </w:pPr>
    </w:p>
    <w:p w:rsidR="00764C19" w:rsidRDefault="00764C19" w:rsidP="009626DC">
      <w:pPr>
        <w:spacing w:after="0"/>
        <w:rPr>
          <w:b/>
          <w:sz w:val="24"/>
          <w:szCs w:val="24"/>
        </w:rPr>
      </w:pPr>
      <w:bookmarkStart w:id="0" w:name="_GoBack"/>
      <w:bookmarkEnd w:id="0"/>
    </w:p>
    <w:sectPr w:rsidR="00764C19" w:rsidSect="0008691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19" w:rsidRDefault="00764C19" w:rsidP="00764C19">
      <w:pPr>
        <w:spacing w:after="0" w:line="240" w:lineRule="auto"/>
      </w:pPr>
      <w:r>
        <w:separator/>
      </w:r>
    </w:p>
  </w:endnote>
  <w:endnote w:type="continuationSeparator" w:id="0">
    <w:p w:rsidR="00764C19" w:rsidRDefault="00764C19" w:rsidP="007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19" w:rsidRDefault="00764C19" w:rsidP="00764C19">
    <w:pPr>
      <w:pStyle w:val="Footer"/>
      <w:jc w:val="center"/>
    </w:pPr>
    <w:r>
      <w:t xml:space="preserve">PAAC on SEAC Effective Practices Handbook for SEAC members available at </w:t>
    </w:r>
    <w:hyperlink r:id="rId1" w:history="1">
      <w:r w:rsidRPr="00741993">
        <w:rPr>
          <w:rStyle w:val="Hyperlink"/>
        </w:rPr>
        <w:t>www.paac-seac.ca</w:t>
      </w:r>
    </w:hyperlink>
  </w:p>
  <w:p w:rsidR="00764C19" w:rsidRDefault="0076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19" w:rsidRDefault="00764C19" w:rsidP="00764C19">
      <w:pPr>
        <w:spacing w:after="0" w:line="240" w:lineRule="auto"/>
      </w:pPr>
      <w:r>
        <w:separator/>
      </w:r>
    </w:p>
  </w:footnote>
  <w:footnote w:type="continuationSeparator" w:id="0">
    <w:p w:rsidR="00764C19" w:rsidRDefault="00764C19" w:rsidP="00764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ECC"/>
    <w:multiLevelType w:val="hybridMultilevel"/>
    <w:tmpl w:val="0F2EBA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8EF5E33"/>
    <w:multiLevelType w:val="hybridMultilevel"/>
    <w:tmpl w:val="1DC67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391513"/>
    <w:multiLevelType w:val="hybridMultilevel"/>
    <w:tmpl w:val="54360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99149A"/>
    <w:multiLevelType w:val="hybridMultilevel"/>
    <w:tmpl w:val="23920CB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92752"/>
    <w:multiLevelType w:val="multilevel"/>
    <w:tmpl w:val="52087354"/>
    <w:lvl w:ilvl="0">
      <w:start w:val="1"/>
      <w:numFmt w:val="decimal"/>
      <w:lvlText w:val="%1."/>
      <w:lvlJc w:val="left"/>
      <w:pPr>
        <w:ind w:left="1778" w:hanging="360"/>
      </w:pPr>
      <w:rPr>
        <w:rFonts w:hint="default"/>
        <w:sz w:val="26"/>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lowerLetter"/>
      <w:lvlText w:val="%4."/>
      <w:lvlJc w:val="left"/>
      <w:pPr>
        <w:ind w:left="2203"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5">
    <w:nsid w:val="39A833F1"/>
    <w:multiLevelType w:val="hybridMultilevel"/>
    <w:tmpl w:val="A77E0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EB673C"/>
    <w:multiLevelType w:val="multilevel"/>
    <w:tmpl w:val="5D109AD6"/>
    <w:lvl w:ilvl="0">
      <w:start w:val="1"/>
      <w:numFmt w:val="lowerLetter"/>
      <w:lvlText w:val="%1."/>
      <w:lvlJc w:val="left"/>
      <w:pPr>
        <w:ind w:left="644" w:hanging="360"/>
      </w:pPr>
      <w:rPr>
        <w:rFonts w:hint="default"/>
        <w:sz w:val="26"/>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1069"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nsid w:val="624D6399"/>
    <w:multiLevelType w:val="hybridMultilevel"/>
    <w:tmpl w:val="69345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4F65742"/>
    <w:multiLevelType w:val="hybridMultilevel"/>
    <w:tmpl w:val="97960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3"/>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21"/>
    <w:rsid w:val="0003519A"/>
    <w:rsid w:val="0008691F"/>
    <w:rsid w:val="00342021"/>
    <w:rsid w:val="00764C19"/>
    <w:rsid w:val="00950402"/>
    <w:rsid w:val="009626DC"/>
    <w:rsid w:val="00985ADD"/>
    <w:rsid w:val="009B0B6B"/>
    <w:rsid w:val="00B6631E"/>
    <w:rsid w:val="00BF0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21"/>
    <w:rPr>
      <w:rFonts w:ascii="Tahoma" w:hAnsi="Tahoma" w:cs="Tahoma"/>
      <w:sz w:val="16"/>
      <w:szCs w:val="16"/>
    </w:rPr>
  </w:style>
  <w:style w:type="paragraph" w:styleId="ListParagraph">
    <w:name w:val="List Paragraph"/>
    <w:basedOn w:val="Normal"/>
    <w:uiPriority w:val="34"/>
    <w:qFormat/>
    <w:rsid w:val="00342021"/>
    <w:pPr>
      <w:ind w:left="720"/>
      <w:contextualSpacing/>
    </w:pPr>
  </w:style>
  <w:style w:type="paragraph" w:styleId="Header">
    <w:name w:val="header"/>
    <w:basedOn w:val="Normal"/>
    <w:link w:val="HeaderChar"/>
    <w:uiPriority w:val="99"/>
    <w:semiHidden/>
    <w:unhideWhenUsed/>
    <w:rsid w:val="0076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C19"/>
  </w:style>
  <w:style w:type="paragraph" w:styleId="Footer">
    <w:name w:val="footer"/>
    <w:basedOn w:val="Normal"/>
    <w:link w:val="FooterChar"/>
    <w:uiPriority w:val="99"/>
    <w:semiHidden/>
    <w:unhideWhenUsed/>
    <w:rsid w:val="00764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C19"/>
  </w:style>
  <w:style w:type="character" w:styleId="Hyperlink">
    <w:name w:val="Hyperlink"/>
    <w:basedOn w:val="DefaultParagraphFont"/>
    <w:uiPriority w:val="99"/>
    <w:unhideWhenUsed/>
    <w:rsid w:val="00764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21"/>
    <w:rPr>
      <w:rFonts w:ascii="Tahoma" w:hAnsi="Tahoma" w:cs="Tahoma"/>
      <w:sz w:val="16"/>
      <w:szCs w:val="16"/>
    </w:rPr>
  </w:style>
  <w:style w:type="paragraph" w:styleId="ListParagraph">
    <w:name w:val="List Paragraph"/>
    <w:basedOn w:val="Normal"/>
    <w:uiPriority w:val="34"/>
    <w:qFormat/>
    <w:rsid w:val="00342021"/>
    <w:pPr>
      <w:ind w:left="720"/>
      <w:contextualSpacing/>
    </w:pPr>
  </w:style>
  <w:style w:type="paragraph" w:styleId="Header">
    <w:name w:val="header"/>
    <w:basedOn w:val="Normal"/>
    <w:link w:val="HeaderChar"/>
    <w:uiPriority w:val="99"/>
    <w:semiHidden/>
    <w:unhideWhenUsed/>
    <w:rsid w:val="0076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C19"/>
  </w:style>
  <w:style w:type="paragraph" w:styleId="Footer">
    <w:name w:val="footer"/>
    <w:basedOn w:val="Normal"/>
    <w:link w:val="FooterChar"/>
    <w:uiPriority w:val="99"/>
    <w:semiHidden/>
    <w:unhideWhenUsed/>
    <w:rsid w:val="00764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C19"/>
  </w:style>
  <w:style w:type="character" w:styleId="Hyperlink">
    <w:name w:val="Hyperlink"/>
    <w:basedOn w:val="DefaultParagraphFont"/>
    <w:uiPriority w:val="99"/>
    <w:unhideWhenUsed/>
    <w:rsid w:val="00764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ac-se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amorse</dc:creator>
  <cp:lastModifiedBy>Diane Wagner</cp:lastModifiedBy>
  <cp:revision>2</cp:revision>
  <cp:lastPrinted>2015-04-21T18:24:00Z</cp:lastPrinted>
  <dcterms:created xsi:type="dcterms:W3CDTF">2015-04-23T17:14:00Z</dcterms:created>
  <dcterms:modified xsi:type="dcterms:W3CDTF">2015-04-23T17:14:00Z</dcterms:modified>
</cp:coreProperties>
</file>